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C8" w:rsidRPr="00870AD7" w:rsidRDefault="003209C3" w:rsidP="005B00C8">
      <w:pPr>
        <w:pStyle w:val="Ttulo2"/>
        <w:rPr>
          <w:rFonts w:ascii="Book Antiqua" w:hAnsi="Book Antiqua"/>
          <w:i/>
          <w:color w:val="auto"/>
          <w:sz w:val="24"/>
          <w:szCs w:val="24"/>
          <w:u w:val="single"/>
        </w:rPr>
      </w:pPr>
      <w:bookmarkStart w:id="0" w:name="METODOLOGIA"/>
      <w:r w:rsidRPr="00870AD7">
        <w:rPr>
          <w:rFonts w:ascii="Book Antiqua" w:hAnsi="Book Antiqua"/>
          <w:i/>
          <w:color w:val="auto"/>
          <w:sz w:val="24"/>
          <w:szCs w:val="24"/>
          <w:u w:val="single"/>
        </w:rPr>
        <w:t>I</w:t>
      </w:r>
      <w:r w:rsidR="000A440E">
        <w:rPr>
          <w:rFonts w:ascii="Book Antiqua" w:hAnsi="Book Antiqua"/>
          <w:i/>
          <w:color w:val="auto"/>
          <w:sz w:val="24"/>
          <w:szCs w:val="24"/>
          <w:u w:val="single"/>
        </w:rPr>
        <w:t xml:space="preserve">nstructivo </w:t>
      </w:r>
      <w:r w:rsidR="000A440E" w:rsidRPr="00C97433">
        <w:rPr>
          <w:rFonts w:ascii="Book Antiqua" w:hAnsi="Book Antiqua"/>
          <w:i/>
          <w:color w:val="auto"/>
          <w:sz w:val="24"/>
          <w:szCs w:val="24"/>
          <w:u w:val="single"/>
        </w:rPr>
        <w:t>de</w:t>
      </w:r>
      <w:r w:rsidR="00621646" w:rsidRPr="00C97433">
        <w:rPr>
          <w:rFonts w:ascii="Book Antiqua" w:hAnsi="Book Antiqua"/>
          <w:i/>
          <w:color w:val="auto"/>
          <w:sz w:val="24"/>
          <w:szCs w:val="24"/>
          <w:u w:val="single"/>
        </w:rPr>
        <w:t xml:space="preserve"> los cuadros de seguimiento </w:t>
      </w:r>
      <w:bookmarkEnd w:id="0"/>
      <w:r w:rsidR="000A440E" w:rsidRPr="00C97433">
        <w:rPr>
          <w:rFonts w:ascii="Book Antiqua" w:hAnsi="Book Antiqua"/>
          <w:i/>
          <w:color w:val="auto"/>
          <w:sz w:val="24"/>
          <w:szCs w:val="24"/>
          <w:u w:val="single"/>
        </w:rPr>
        <w:t>de</w:t>
      </w:r>
      <w:r w:rsidR="000A440E">
        <w:rPr>
          <w:rFonts w:ascii="Book Antiqua" w:hAnsi="Book Antiqua"/>
          <w:i/>
          <w:color w:val="auto"/>
          <w:sz w:val="24"/>
          <w:szCs w:val="24"/>
          <w:u w:val="single"/>
        </w:rPr>
        <w:t xml:space="preserve"> la reserva de liquidez</w:t>
      </w:r>
      <w:r w:rsidR="00D8265A">
        <w:rPr>
          <w:rFonts w:ascii="Book Antiqua" w:hAnsi="Book Antiqua"/>
          <w:i/>
          <w:color w:val="auto"/>
          <w:sz w:val="24"/>
          <w:szCs w:val="24"/>
          <w:u w:val="single"/>
        </w:rPr>
        <w:t xml:space="preserve"> (RL)</w:t>
      </w:r>
    </w:p>
    <w:p w:rsidR="00D6060A" w:rsidRPr="00D6060A" w:rsidRDefault="008438A8" w:rsidP="008438A8">
      <w:pPr>
        <w:pStyle w:val="NormalWeb"/>
        <w:numPr>
          <w:ilvl w:val="0"/>
          <w:numId w:val="4"/>
        </w:numPr>
        <w:spacing w:before="150" w:beforeAutospacing="0" w:after="150" w:afterAutospacing="0"/>
        <w:contextualSpacing/>
        <w:jc w:val="both"/>
        <w:rPr>
          <w:rFonts w:ascii="Arial" w:hAnsi="Arial" w:cs="Arial"/>
          <w:lang w:val="es-CR" w:eastAsia="es-CR"/>
        </w:rPr>
      </w:pPr>
      <w:r w:rsidRPr="00C97433">
        <w:rPr>
          <w:rFonts w:ascii="Arial" w:hAnsi="Arial" w:cs="Arial"/>
          <w:color w:val="auto"/>
        </w:rPr>
        <w:t xml:space="preserve">El </w:t>
      </w:r>
      <w:r w:rsidR="00621646" w:rsidRPr="00C97433">
        <w:rPr>
          <w:rFonts w:ascii="Arial" w:hAnsi="Arial" w:cs="Arial"/>
          <w:color w:val="auto"/>
        </w:rPr>
        <w:t>seguimiento y cumplimiento</w:t>
      </w:r>
      <w:r w:rsidR="00D6060A">
        <w:rPr>
          <w:rFonts w:ascii="Arial" w:hAnsi="Arial" w:cs="Arial"/>
          <w:color w:val="auto"/>
        </w:rPr>
        <w:t xml:space="preserve"> de</w:t>
      </w:r>
      <w:r w:rsidRPr="007E79EB">
        <w:rPr>
          <w:rFonts w:ascii="Arial" w:hAnsi="Arial" w:cs="Arial"/>
          <w:color w:val="auto"/>
        </w:rPr>
        <w:t xml:space="preserve"> la </w:t>
      </w:r>
      <w:r w:rsidR="00D8265A">
        <w:rPr>
          <w:rFonts w:ascii="Arial" w:hAnsi="Arial" w:cs="Arial"/>
          <w:color w:val="auto"/>
        </w:rPr>
        <w:t>RL</w:t>
      </w:r>
      <w:r w:rsidRPr="007E79EB">
        <w:rPr>
          <w:rFonts w:ascii="Arial" w:hAnsi="Arial" w:cs="Arial"/>
          <w:color w:val="auto"/>
        </w:rPr>
        <w:t xml:space="preserve"> se deberá realizar de conformidad con lo que estipula el literal D y  F, Título VI de las Regulaciones de Política Monetaria</w:t>
      </w:r>
      <w:r w:rsidR="00621646">
        <w:rPr>
          <w:rFonts w:ascii="Arial" w:hAnsi="Arial" w:cs="Arial"/>
          <w:color w:val="auto"/>
        </w:rPr>
        <w:t xml:space="preserve"> </w:t>
      </w:r>
      <w:r w:rsidR="00621646" w:rsidRPr="00C97433">
        <w:rPr>
          <w:rFonts w:ascii="Arial" w:hAnsi="Arial" w:cs="Arial"/>
          <w:color w:val="auto"/>
        </w:rPr>
        <w:t xml:space="preserve">y las circulares que al respecto emita la </w:t>
      </w:r>
      <w:r w:rsidR="00C716EE">
        <w:rPr>
          <w:rFonts w:ascii="Arial" w:hAnsi="Arial" w:cs="Arial"/>
          <w:color w:val="auto"/>
        </w:rPr>
        <w:t>SUGEF</w:t>
      </w:r>
      <w:r w:rsidR="00D6060A">
        <w:rPr>
          <w:rFonts w:ascii="Arial" w:hAnsi="Arial" w:cs="Arial"/>
          <w:color w:val="auto"/>
        </w:rPr>
        <w:t xml:space="preserve">. </w:t>
      </w:r>
      <w:r w:rsidR="00D8265A">
        <w:rPr>
          <w:rFonts w:ascii="Arial" w:hAnsi="Arial" w:cs="Arial"/>
          <w:color w:val="auto"/>
        </w:rPr>
        <w:t>En este sentido se debe considerar lo siguiente:</w:t>
      </w:r>
    </w:p>
    <w:p w:rsidR="008438A8" w:rsidRPr="007E79EB" w:rsidRDefault="008438A8" w:rsidP="008438A8">
      <w:pPr>
        <w:pStyle w:val="NormalWeb"/>
        <w:spacing w:before="150" w:beforeAutospacing="0" w:after="150" w:afterAutospacing="0"/>
        <w:ind w:left="720"/>
        <w:contextualSpacing/>
        <w:jc w:val="both"/>
        <w:rPr>
          <w:rFonts w:ascii="Arial" w:hAnsi="Arial" w:cs="Arial"/>
          <w:lang w:val="es-CR" w:eastAsia="es-CR"/>
        </w:rPr>
      </w:pPr>
    </w:p>
    <w:p w:rsidR="008438A8" w:rsidRDefault="008438A8" w:rsidP="007713AD">
      <w:pPr>
        <w:pStyle w:val="NormalWeb"/>
        <w:numPr>
          <w:ilvl w:val="0"/>
          <w:numId w:val="8"/>
        </w:numPr>
        <w:contextualSpacing/>
        <w:jc w:val="both"/>
        <w:rPr>
          <w:rFonts w:ascii="Arial" w:hAnsi="Arial" w:cs="Arial"/>
        </w:rPr>
      </w:pPr>
      <w:r w:rsidRPr="00D8265A">
        <w:rPr>
          <w:rStyle w:val="nfasis"/>
          <w:rFonts w:ascii="Arial" w:hAnsi="Arial" w:cs="Arial"/>
          <w:i w:val="0"/>
        </w:rPr>
        <w:t xml:space="preserve">El requerimiento de </w:t>
      </w:r>
      <w:r w:rsidR="00D8265A" w:rsidRPr="00D8265A">
        <w:rPr>
          <w:rStyle w:val="nfasis"/>
          <w:rFonts w:ascii="Arial" w:hAnsi="Arial" w:cs="Arial"/>
          <w:i w:val="0"/>
        </w:rPr>
        <w:t>RL</w:t>
      </w:r>
      <w:r w:rsidRPr="00D8265A">
        <w:rPr>
          <w:rStyle w:val="nfasis"/>
          <w:rFonts w:ascii="Arial" w:hAnsi="Arial" w:cs="Arial"/>
          <w:i w:val="0"/>
        </w:rPr>
        <w:t xml:space="preserve"> será calculado como el promedio mensual de saldos, al final del día, de las operaciones sujetas a </w:t>
      </w:r>
      <w:r w:rsidR="00D8265A" w:rsidRPr="00D8265A">
        <w:rPr>
          <w:rStyle w:val="nfasis"/>
          <w:rFonts w:ascii="Arial" w:hAnsi="Arial" w:cs="Arial"/>
          <w:i w:val="0"/>
        </w:rPr>
        <w:t>reserva de liquidez</w:t>
      </w:r>
      <w:r w:rsidRPr="00D8265A">
        <w:rPr>
          <w:rStyle w:val="nfasis"/>
          <w:rFonts w:ascii="Arial" w:hAnsi="Arial" w:cs="Arial"/>
          <w:i w:val="0"/>
        </w:rPr>
        <w:t xml:space="preserve">. En </w:t>
      </w:r>
      <w:r w:rsidR="00D8265A">
        <w:rPr>
          <w:rStyle w:val="nfasis"/>
          <w:rFonts w:ascii="Arial" w:hAnsi="Arial" w:cs="Arial"/>
          <w:i w:val="0"/>
        </w:rPr>
        <w:t>este</w:t>
      </w:r>
      <w:r w:rsidRPr="00D8265A">
        <w:rPr>
          <w:rStyle w:val="nfasis"/>
          <w:rFonts w:ascii="Arial" w:hAnsi="Arial" w:cs="Arial"/>
          <w:i w:val="0"/>
        </w:rPr>
        <w:t xml:space="preserve"> cálculo intervendrán todos los días del mes, para los fines de semana y días no hábiles debe repetirse el saldo del último día hábil.</w:t>
      </w:r>
      <w:r w:rsidRPr="00D8265A">
        <w:rPr>
          <w:rFonts w:ascii="Arial" w:hAnsi="Arial" w:cs="Arial"/>
        </w:rPr>
        <w:t xml:space="preserve"> </w:t>
      </w:r>
    </w:p>
    <w:p w:rsidR="00D8265A" w:rsidRPr="00D8265A" w:rsidRDefault="00D8265A" w:rsidP="00D8265A">
      <w:pPr>
        <w:pStyle w:val="NormalWeb"/>
        <w:ind w:left="1080"/>
        <w:contextualSpacing/>
        <w:jc w:val="both"/>
        <w:rPr>
          <w:rFonts w:ascii="Arial" w:hAnsi="Arial" w:cs="Arial"/>
        </w:rPr>
      </w:pPr>
    </w:p>
    <w:p w:rsidR="00D8265A" w:rsidRPr="00D8265A" w:rsidRDefault="00D8265A" w:rsidP="00D8265A">
      <w:pPr>
        <w:pStyle w:val="NormalWeb"/>
        <w:numPr>
          <w:ilvl w:val="0"/>
          <w:numId w:val="8"/>
        </w:numPr>
        <w:spacing w:before="150" w:beforeAutospacing="0" w:after="150" w:afterAutospacing="0"/>
        <w:contextualSpacing/>
        <w:jc w:val="both"/>
        <w:rPr>
          <w:rStyle w:val="nfasis"/>
          <w:rFonts w:ascii="Arial" w:hAnsi="Arial" w:cs="Arial"/>
          <w:i w:val="0"/>
          <w:iCs w:val="0"/>
          <w:lang w:val="es-CR" w:eastAsia="es-CR"/>
        </w:rPr>
      </w:pPr>
      <w:r w:rsidRPr="007E79EB">
        <w:rPr>
          <w:rFonts w:ascii="Arial" w:hAnsi="Arial" w:cs="Arial"/>
          <w:color w:val="auto"/>
        </w:rPr>
        <w:t>E</w:t>
      </w:r>
      <w:r w:rsidRPr="007E79EB">
        <w:rPr>
          <w:rStyle w:val="nfasis"/>
          <w:rFonts w:ascii="Arial" w:hAnsi="Arial" w:cs="Arial"/>
          <w:i w:val="0"/>
        </w:rPr>
        <w:t xml:space="preserve">l requerimiento mensual de </w:t>
      </w:r>
      <w:r>
        <w:rPr>
          <w:rStyle w:val="nfasis"/>
          <w:rFonts w:ascii="Arial" w:hAnsi="Arial" w:cs="Arial"/>
          <w:i w:val="0"/>
        </w:rPr>
        <w:t>la RL</w:t>
      </w:r>
      <w:r w:rsidRPr="007E79EB">
        <w:rPr>
          <w:rStyle w:val="nfasis"/>
          <w:rFonts w:ascii="Arial" w:hAnsi="Arial" w:cs="Arial"/>
          <w:i w:val="0"/>
        </w:rPr>
        <w:t xml:space="preserve"> en moneda nacional y en moneda extranjera debe calcularse por separado y los respectivos fondos deben mantenerse en la moneda correspondiente.</w:t>
      </w:r>
      <w:r>
        <w:rPr>
          <w:rStyle w:val="nfasis"/>
          <w:rFonts w:ascii="Arial" w:hAnsi="Arial" w:cs="Arial"/>
          <w:i w:val="0"/>
        </w:rPr>
        <w:t xml:space="preserve"> </w:t>
      </w:r>
    </w:p>
    <w:p w:rsidR="00D8265A" w:rsidRPr="007E79EB" w:rsidRDefault="00D8265A" w:rsidP="00D8265A">
      <w:pPr>
        <w:pStyle w:val="NormalWeb"/>
        <w:spacing w:before="150" w:beforeAutospacing="0" w:after="150" w:afterAutospacing="0"/>
        <w:ind w:left="1080"/>
        <w:contextualSpacing/>
        <w:jc w:val="both"/>
        <w:rPr>
          <w:rStyle w:val="nfasis"/>
          <w:rFonts w:ascii="Arial" w:hAnsi="Arial" w:cs="Arial"/>
          <w:i w:val="0"/>
          <w:iCs w:val="0"/>
          <w:lang w:val="es-CR" w:eastAsia="es-CR"/>
        </w:rPr>
      </w:pPr>
    </w:p>
    <w:p w:rsidR="008438A8" w:rsidRPr="00D8265A" w:rsidRDefault="008438A8" w:rsidP="00D8265A">
      <w:pPr>
        <w:pStyle w:val="NormalWeb"/>
        <w:numPr>
          <w:ilvl w:val="0"/>
          <w:numId w:val="8"/>
        </w:numPr>
        <w:contextualSpacing/>
        <w:jc w:val="both"/>
        <w:rPr>
          <w:rStyle w:val="nfasis"/>
          <w:rFonts w:ascii="Arial" w:hAnsi="Arial" w:cs="Arial"/>
          <w:i w:val="0"/>
          <w:iCs w:val="0"/>
        </w:rPr>
      </w:pPr>
      <w:r w:rsidRPr="00D8265A">
        <w:rPr>
          <w:rStyle w:val="nfasis"/>
          <w:rFonts w:ascii="Arial" w:hAnsi="Arial" w:cs="Arial"/>
          <w:i w:val="0"/>
        </w:rPr>
        <w:t xml:space="preserve">El cumplimiento de la </w:t>
      </w:r>
      <w:r w:rsidR="00D8265A">
        <w:rPr>
          <w:rStyle w:val="nfasis"/>
          <w:rFonts w:ascii="Arial" w:hAnsi="Arial" w:cs="Arial"/>
          <w:i w:val="0"/>
        </w:rPr>
        <w:t>RL</w:t>
      </w:r>
      <w:r w:rsidRPr="00D8265A">
        <w:rPr>
          <w:rStyle w:val="nfasis"/>
          <w:rFonts w:ascii="Arial" w:hAnsi="Arial" w:cs="Arial"/>
          <w:i w:val="0"/>
        </w:rPr>
        <w:t xml:space="preserve"> será realizado con un mes de rezago</w:t>
      </w:r>
      <w:r w:rsidR="00D8265A">
        <w:rPr>
          <w:rStyle w:val="nfasis"/>
          <w:rFonts w:ascii="Arial" w:hAnsi="Arial" w:cs="Arial"/>
          <w:i w:val="0"/>
        </w:rPr>
        <w:t xml:space="preserve"> y su</w:t>
      </w:r>
      <w:r w:rsidRPr="00D8265A">
        <w:rPr>
          <w:rStyle w:val="nfasis"/>
          <w:rFonts w:ascii="Arial" w:hAnsi="Arial" w:cs="Arial"/>
          <w:i w:val="0"/>
        </w:rPr>
        <w:t xml:space="preserve"> control se hará con el promedio mensual del saldo, </w:t>
      </w:r>
      <w:r w:rsidRPr="0089312A">
        <w:rPr>
          <w:rStyle w:val="nfasis"/>
          <w:rFonts w:ascii="Arial" w:hAnsi="Arial" w:cs="Arial"/>
          <w:i w:val="0"/>
          <w:u w:val="single"/>
        </w:rPr>
        <w:t>al final de cada día</w:t>
      </w:r>
      <w:r w:rsidRPr="00D8265A">
        <w:rPr>
          <w:rStyle w:val="nfasis"/>
          <w:rFonts w:ascii="Arial" w:hAnsi="Arial" w:cs="Arial"/>
          <w:i w:val="0"/>
        </w:rPr>
        <w:t xml:space="preserve"> del mes de cumplimiento, de los activos</w:t>
      </w:r>
      <w:r w:rsidR="00D8265A" w:rsidRPr="00D8265A">
        <w:rPr>
          <w:rStyle w:val="nfasis"/>
          <w:rFonts w:ascii="Arial" w:hAnsi="Arial" w:cs="Arial"/>
          <w:i w:val="0"/>
        </w:rPr>
        <w:t xml:space="preserve"> financieros</w:t>
      </w:r>
      <w:r w:rsidRPr="00D8265A">
        <w:rPr>
          <w:rStyle w:val="nfasis"/>
          <w:rFonts w:ascii="Arial" w:hAnsi="Arial" w:cs="Arial"/>
          <w:i w:val="0"/>
        </w:rPr>
        <w:t xml:space="preserve"> que componen esa reserva</w:t>
      </w:r>
      <w:r w:rsidR="00D8265A" w:rsidRPr="00D8265A">
        <w:rPr>
          <w:rStyle w:val="nfasis"/>
          <w:rFonts w:ascii="Arial" w:hAnsi="Arial" w:cs="Arial"/>
          <w:i w:val="0"/>
        </w:rPr>
        <w:t xml:space="preserve">, </w:t>
      </w:r>
      <w:r w:rsidR="00D8265A" w:rsidRPr="00C97433">
        <w:rPr>
          <w:rStyle w:val="nfasis"/>
          <w:rFonts w:ascii="Arial" w:hAnsi="Arial" w:cs="Arial"/>
          <w:i w:val="0"/>
        </w:rPr>
        <w:t>según la normativa vigente</w:t>
      </w:r>
      <w:r w:rsidRPr="00D8265A">
        <w:rPr>
          <w:rStyle w:val="nfasis"/>
          <w:rFonts w:ascii="Arial" w:hAnsi="Arial" w:cs="Arial"/>
          <w:i w:val="0"/>
        </w:rPr>
        <w:t>. En ese cálculo intervendrán todos los días del mes, para los fines de semana y días no hábiles repite el saldo del último día hábil.</w:t>
      </w:r>
    </w:p>
    <w:p w:rsidR="00D8265A" w:rsidRPr="00D8265A" w:rsidRDefault="00D8265A" w:rsidP="00D8265A">
      <w:pPr>
        <w:pStyle w:val="NormalWeb"/>
        <w:ind w:left="1080"/>
        <w:contextualSpacing/>
        <w:jc w:val="both"/>
        <w:rPr>
          <w:rStyle w:val="nfasis"/>
          <w:rFonts w:ascii="Arial" w:hAnsi="Arial" w:cs="Arial"/>
          <w:i w:val="0"/>
          <w:iCs w:val="0"/>
        </w:rPr>
      </w:pPr>
    </w:p>
    <w:p w:rsidR="008438A8" w:rsidRDefault="008438A8" w:rsidP="00D8265A">
      <w:pPr>
        <w:pStyle w:val="NormalWeb"/>
        <w:numPr>
          <w:ilvl w:val="0"/>
          <w:numId w:val="8"/>
        </w:numPr>
        <w:contextualSpacing/>
        <w:jc w:val="both"/>
        <w:rPr>
          <w:rFonts w:ascii="Arial" w:hAnsi="Arial" w:cs="Arial"/>
        </w:rPr>
      </w:pPr>
      <w:r w:rsidRPr="007E79EB">
        <w:rPr>
          <w:rStyle w:val="nfasis"/>
          <w:rFonts w:ascii="Arial" w:hAnsi="Arial" w:cs="Arial"/>
          <w:i w:val="0"/>
        </w:rPr>
        <w:t xml:space="preserve">La entidad financiera deberá llevar un registro de esa reserva de liquidez en una cuenta contable exclusiva para ese fin, la cual debe mostrar en las subcuentas el detalle de composición de dicha reserva por tipo </w:t>
      </w:r>
      <w:r w:rsidRPr="00C97433">
        <w:rPr>
          <w:rStyle w:val="nfasis"/>
          <w:rFonts w:ascii="Arial" w:hAnsi="Arial" w:cs="Arial"/>
          <w:i w:val="0"/>
        </w:rPr>
        <w:t xml:space="preserve">de </w:t>
      </w:r>
      <w:r w:rsidR="00D8265A" w:rsidRPr="00C97433">
        <w:rPr>
          <w:rStyle w:val="nfasis"/>
          <w:rFonts w:ascii="Arial" w:hAnsi="Arial" w:cs="Arial"/>
          <w:i w:val="0"/>
        </w:rPr>
        <w:t>instrumento financiero</w:t>
      </w:r>
      <w:r w:rsidRPr="007E79EB">
        <w:rPr>
          <w:rFonts w:ascii="Arial" w:hAnsi="Arial" w:cs="Arial"/>
        </w:rPr>
        <w:t>.</w:t>
      </w:r>
    </w:p>
    <w:p w:rsidR="00D8265A" w:rsidRDefault="00D8265A" w:rsidP="00D8265A">
      <w:pPr>
        <w:pStyle w:val="NormalWeb"/>
        <w:contextualSpacing/>
        <w:jc w:val="both"/>
        <w:rPr>
          <w:rFonts w:ascii="Arial" w:hAnsi="Arial" w:cs="Arial"/>
        </w:rPr>
      </w:pPr>
    </w:p>
    <w:p w:rsidR="005B00C8" w:rsidRPr="00D8265A" w:rsidRDefault="00D8265A" w:rsidP="00D8265A">
      <w:pPr>
        <w:pStyle w:val="NormalWeb"/>
        <w:numPr>
          <w:ilvl w:val="0"/>
          <w:numId w:val="4"/>
        </w:numPr>
        <w:spacing w:before="150" w:beforeAutospacing="0" w:after="150" w:afterAutospacing="0"/>
        <w:jc w:val="both"/>
        <w:rPr>
          <w:rFonts w:ascii="Arial" w:hAnsi="Arial" w:cs="Arial"/>
          <w:color w:val="auto"/>
        </w:rPr>
      </w:pPr>
      <w:r w:rsidRPr="00D8265A">
        <w:rPr>
          <w:rFonts w:ascii="Arial" w:hAnsi="Arial" w:cs="Arial"/>
          <w:color w:val="auto"/>
        </w:rPr>
        <w:t>El detalle del cálculo debe ser suministrado</w:t>
      </w:r>
      <w:r w:rsidR="001F66AD">
        <w:rPr>
          <w:rFonts w:ascii="Arial" w:hAnsi="Arial" w:cs="Arial"/>
          <w:color w:val="auto"/>
        </w:rPr>
        <w:t xml:space="preserve"> </w:t>
      </w:r>
      <w:r w:rsidR="001F66AD" w:rsidRPr="00D8265A">
        <w:rPr>
          <w:rFonts w:ascii="Arial" w:hAnsi="Arial" w:cs="Arial"/>
          <w:color w:val="auto"/>
        </w:rPr>
        <w:t>a la Sugef</w:t>
      </w:r>
      <w:r w:rsidR="001F66AD">
        <w:rPr>
          <w:rFonts w:ascii="Arial" w:hAnsi="Arial" w:cs="Arial"/>
          <w:color w:val="auto"/>
        </w:rPr>
        <w:t>,</w:t>
      </w:r>
      <w:r w:rsidR="001F66AD" w:rsidRPr="00D8265A">
        <w:rPr>
          <w:rFonts w:ascii="Arial" w:hAnsi="Arial" w:cs="Arial"/>
          <w:color w:val="auto"/>
        </w:rPr>
        <w:t xml:space="preserve"> </w:t>
      </w:r>
      <w:r w:rsidR="001F66AD">
        <w:rPr>
          <w:rFonts w:ascii="Arial" w:hAnsi="Arial" w:cs="Arial"/>
          <w:color w:val="auto"/>
        </w:rPr>
        <w:t>por el Contador Público Autorizado</w:t>
      </w:r>
      <w:r w:rsidR="00C716EE">
        <w:rPr>
          <w:rFonts w:ascii="Arial" w:hAnsi="Arial" w:cs="Arial"/>
          <w:color w:val="auto"/>
        </w:rPr>
        <w:t xml:space="preserve"> (CPA), </w:t>
      </w:r>
      <w:r w:rsidR="001F66AD">
        <w:rPr>
          <w:rFonts w:ascii="Arial" w:hAnsi="Arial" w:cs="Arial"/>
          <w:color w:val="auto"/>
        </w:rPr>
        <w:t>en el ar</w:t>
      </w:r>
      <w:r w:rsidRPr="00D8265A">
        <w:rPr>
          <w:rFonts w:ascii="Arial" w:hAnsi="Arial" w:cs="Arial"/>
          <w:color w:val="auto"/>
        </w:rPr>
        <w:t>chivo adjunto</w:t>
      </w:r>
      <w:r w:rsidR="001F66AD">
        <w:rPr>
          <w:rFonts w:ascii="Arial" w:hAnsi="Arial" w:cs="Arial"/>
          <w:color w:val="auto"/>
        </w:rPr>
        <w:t xml:space="preserve"> a este documento (un archivo</w:t>
      </w:r>
      <w:r w:rsidR="00621646">
        <w:rPr>
          <w:rFonts w:ascii="Arial" w:hAnsi="Arial" w:cs="Arial"/>
          <w:color w:val="auto"/>
        </w:rPr>
        <w:t xml:space="preserve"> </w:t>
      </w:r>
      <w:r w:rsidR="00621646" w:rsidRPr="00C97433">
        <w:rPr>
          <w:rFonts w:ascii="Arial" w:hAnsi="Arial" w:cs="Arial"/>
          <w:color w:val="auto"/>
        </w:rPr>
        <w:t>para cada moneda</w:t>
      </w:r>
      <w:r w:rsidR="001F66AD">
        <w:rPr>
          <w:rFonts w:ascii="Arial" w:hAnsi="Arial" w:cs="Arial"/>
          <w:color w:val="auto"/>
        </w:rPr>
        <w:t>)</w:t>
      </w:r>
      <w:r w:rsidRPr="00D8265A">
        <w:rPr>
          <w:rFonts w:ascii="Arial" w:hAnsi="Arial" w:cs="Arial"/>
          <w:color w:val="auto"/>
        </w:rPr>
        <w:t xml:space="preserve">, manteniendo </w:t>
      </w:r>
      <w:r w:rsidR="00C716EE">
        <w:rPr>
          <w:rFonts w:ascii="Arial" w:hAnsi="Arial" w:cs="Arial"/>
          <w:color w:val="auto"/>
        </w:rPr>
        <w:t>su</w:t>
      </w:r>
      <w:r w:rsidRPr="00D8265A">
        <w:rPr>
          <w:rFonts w:ascii="Arial" w:hAnsi="Arial" w:cs="Arial"/>
          <w:color w:val="auto"/>
        </w:rPr>
        <w:t xml:space="preserve"> formato original y</w:t>
      </w:r>
      <w:r w:rsidR="00C716EE">
        <w:rPr>
          <w:rFonts w:ascii="Arial" w:hAnsi="Arial" w:cs="Arial"/>
          <w:color w:val="auto"/>
        </w:rPr>
        <w:t>,</w:t>
      </w:r>
      <w:r w:rsidRPr="00D8265A">
        <w:rPr>
          <w:rFonts w:ascii="Arial" w:hAnsi="Arial" w:cs="Arial"/>
          <w:color w:val="auto"/>
        </w:rPr>
        <w:t xml:space="preserve"> considerando los siguientes aspectos:</w:t>
      </w:r>
    </w:p>
    <w:p w:rsidR="005B00C8" w:rsidRDefault="005B00C8" w:rsidP="00621646">
      <w:pPr>
        <w:pStyle w:val="NormalWeb"/>
        <w:numPr>
          <w:ilvl w:val="0"/>
          <w:numId w:val="5"/>
        </w:numPr>
        <w:spacing w:after="0" w:afterAutospacing="0"/>
        <w:ind w:left="1315" w:right="601" w:hanging="357"/>
        <w:jc w:val="both"/>
        <w:rPr>
          <w:rFonts w:ascii="Arial" w:hAnsi="Arial" w:cs="Arial"/>
          <w:color w:val="auto"/>
        </w:rPr>
      </w:pPr>
      <w:r w:rsidRPr="0043752C">
        <w:rPr>
          <w:rFonts w:ascii="Arial" w:hAnsi="Arial" w:cs="Arial"/>
          <w:color w:val="auto"/>
        </w:rPr>
        <w:t xml:space="preserve">El espacio </w:t>
      </w:r>
      <w:r w:rsidR="00621646">
        <w:rPr>
          <w:rFonts w:ascii="Arial" w:hAnsi="Arial" w:cs="Arial"/>
          <w:color w:val="auto"/>
        </w:rPr>
        <w:t>“</w:t>
      </w:r>
      <w:r w:rsidRPr="0043752C">
        <w:rPr>
          <w:rFonts w:ascii="Arial" w:hAnsi="Arial" w:cs="Arial"/>
          <w:color w:val="auto"/>
        </w:rPr>
        <w:t>cuenta contable</w:t>
      </w:r>
      <w:r w:rsidR="00621646">
        <w:rPr>
          <w:rFonts w:ascii="Arial" w:hAnsi="Arial" w:cs="Arial"/>
          <w:color w:val="auto"/>
        </w:rPr>
        <w:t>”</w:t>
      </w:r>
      <w:r w:rsidRPr="0043752C">
        <w:rPr>
          <w:rFonts w:ascii="Arial" w:hAnsi="Arial" w:cs="Arial"/>
          <w:color w:val="auto"/>
        </w:rPr>
        <w:t xml:space="preserve"> debe ser completado </w:t>
      </w:r>
      <w:r w:rsidR="00621646">
        <w:rPr>
          <w:rFonts w:ascii="Arial" w:hAnsi="Arial" w:cs="Arial"/>
          <w:color w:val="auto"/>
        </w:rPr>
        <w:t>con</w:t>
      </w:r>
      <w:r w:rsidRPr="0043752C">
        <w:rPr>
          <w:rFonts w:ascii="Arial" w:hAnsi="Arial" w:cs="Arial"/>
          <w:color w:val="auto"/>
        </w:rPr>
        <w:t xml:space="preserve"> el número de cuenta en la cual la entidad registra (en su contabilidad) las </w:t>
      </w:r>
      <w:r w:rsidR="006178EA">
        <w:rPr>
          <w:rFonts w:ascii="Arial" w:hAnsi="Arial" w:cs="Arial"/>
          <w:color w:val="auto"/>
        </w:rPr>
        <w:t>operaciones</w:t>
      </w:r>
      <w:r w:rsidR="009D678C">
        <w:rPr>
          <w:rFonts w:ascii="Arial" w:hAnsi="Arial" w:cs="Arial"/>
          <w:color w:val="auto"/>
        </w:rPr>
        <w:t xml:space="preserve"> </w:t>
      </w:r>
      <w:r w:rsidR="00621646">
        <w:rPr>
          <w:rFonts w:ascii="Arial" w:hAnsi="Arial" w:cs="Arial"/>
          <w:color w:val="auto"/>
        </w:rPr>
        <w:t>sujetas a la reserva de liquidez así como las inversiones mantenidas para respaldar esa reserva</w:t>
      </w:r>
      <w:r w:rsidRPr="0043752C">
        <w:rPr>
          <w:rFonts w:ascii="Arial" w:hAnsi="Arial" w:cs="Arial"/>
          <w:color w:val="auto"/>
        </w:rPr>
        <w:t xml:space="preserve">. Esta información será utilizada por los funcionarios de la SUGEF cuando realicen la revisión in situ. </w:t>
      </w:r>
    </w:p>
    <w:p w:rsidR="00621646" w:rsidRDefault="00621646" w:rsidP="00621646">
      <w:pPr>
        <w:pStyle w:val="NormalWeb"/>
        <w:spacing w:before="0" w:beforeAutospacing="0" w:after="0" w:afterAutospacing="0"/>
        <w:ind w:left="1315" w:right="601"/>
        <w:jc w:val="both"/>
        <w:rPr>
          <w:rFonts w:ascii="Arial" w:hAnsi="Arial" w:cs="Arial"/>
          <w:color w:val="auto"/>
        </w:rPr>
      </w:pPr>
    </w:p>
    <w:p w:rsidR="005B00C8" w:rsidRDefault="0089312A" w:rsidP="00621646">
      <w:pPr>
        <w:pStyle w:val="NormalWeb"/>
        <w:numPr>
          <w:ilvl w:val="0"/>
          <w:numId w:val="5"/>
        </w:numPr>
        <w:spacing w:before="0" w:beforeAutospacing="0" w:after="0" w:afterAutospacing="0"/>
        <w:ind w:left="1315" w:right="601" w:hanging="357"/>
        <w:jc w:val="both"/>
        <w:rPr>
          <w:rFonts w:ascii="Arial" w:hAnsi="Arial" w:cs="Arial"/>
          <w:color w:val="auto"/>
        </w:rPr>
      </w:pPr>
      <w:r w:rsidRPr="0089312A">
        <w:rPr>
          <w:rFonts w:ascii="Arial" w:hAnsi="Arial" w:cs="Arial"/>
          <w:color w:val="auto"/>
          <w:u w:val="single"/>
        </w:rPr>
        <w:t>Para</w:t>
      </w:r>
      <w:r w:rsidR="005B00C8" w:rsidRPr="0089312A">
        <w:rPr>
          <w:rFonts w:ascii="Arial" w:hAnsi="Arial" w:cs="Arial"/>
          <w:color w:val="auto"/>
          <w:u w:val="single"/>
        </w:rPr>
        <w:t xml:space="preserve"> </w:t>
      </w:r>
      <w:r w:rsidRPr="0089312A">
        <w:rPr>
          <w:rFonts w:ascii="Arial" w:hAnsi="Arial" w:cs="Arial"/>
          <w:color w:val="auto"/>
          <w:u w:val="single"/>
        </w:rPr>
        <w:t>todos los rubros reportados</w:t>
      </w:r>
      <w:r>
        <w:rPr>
          <w:rFonts w:ascii="Arial" w:hAnsi="Arial" w:cs="Arial"/>
          <w:color w:val="auto"/>
        </w:rPr>
        <w:t xml:space="preserve"> en estos anexos se debe reportar </w:t>
      </w:r>
      <w:r w:rsidR="005B00C8" w:rsidRPr="0043752C">
        <w:rPr>
          <w:rFonts w:ascii="Arial" w:hAnsi="Arial" w:cs="Arial"/>
          <w:color w:val="auto"/>
        </w:rPr>
        <w:t xml:space="preserve"> el saldo, al final del día</w:t>
      </w:r>
      <w:r>
        <w:rPr>
          <w:rFonts w:ascii="Arial" w:hAnsi="Arial" w:cs="Arial"/>
          <w:color w:val="auto"/>
        </w:rPr>
        <w:t xml:space="preserve">.  </w:t>
      </w:r>
    </w:p>
    <w:p w:rsidR="00516FCA" w:rsidRPr="0043752C" w:rsidRDefault="00516FCA" w:rsidP="0089312A">
      <w:pPr>
        <w:pStyle w:val="NormalWeb"/>
        <w:spacing w:before="0" w:beforeAutospacing="0" w:after="0" w:afterAutospacing="0"/>
        <w:ind w:right="601"/>
        <w:jc w:val="both"/>
        <w:rPr>
          <w:rFonts w:ascii="Arial" w:hAnsi="Arial" w:cs="Arial"/>
          <w:color w:val="auto"/>
        </w:rPr>
      </w:pPr>
    </w:p>
    <w:p w:rsidR="003E5490" w:rsidRDefault="005B00C8" w:rsidP="00621646">
      <w:pPr>
        <w:pStyle w:val="NormalWeb"/>
        <w:numPr>
          <w:ilvl w:val="0"/>
          <w:numId w:val="5"/>
        </w:numPr>
        <w:spacing w:before="0" w:beforeAutospacing="0" w:after="0" w:afterAutospacing="0"/>
        <w:ind w:left="1315" w:right="601" w:hanging="357"/>
        <w:jc w:val="both"/>
        <w:rPr>
          <w:rFonts w:ascii="Arial" w:hAnsi="Arial" w:cs="Arial"/>
          <w:color w:val="auto"/>
        </w:rPr>
      </w:pPr>
      <w:r w:rsidRPr="0043752C">
        <w:rPr>
          <w:rFonts w:ascii="Arial" w:hAnsi="Arial" w:cs="Arial"/>
          <w:color w:val="auto"/>
        </w:rPr>
        <w:t xml:space="preserve">El </w:t>
      </w:r>
      <w:r w:rsidR="003E5490">
        <w:rPr>
          <w:rFonts w:ascii="Arial" w:hAnsi="Arial" w:cs="Arial"/>
          <w:color w:val="auto"/>
        </w:rPr>
        <w:t xml:space="preserve"> campo </w:t>
      </w:r>
      <w:r w:rsidRPr="0043752C">
        <w:rPr>
          <w:rFonts w:ascii="Arial" w:hAnsi="Arial" w:cs="Arial"/>
          <w:color w:val="auto"/>
        </w:rPr>
        <w:t>" Reserva de Liquidez Requerida</w:t>
      </w:r>
      <w:r w:rsidR="003E5490">
        <w:rPr>
          <w:rFonts w:ascii="Arial" w:hAnsi="Arial" w:cs="Arial"/>
          <w:color w:val="auto"/>
        </w:rPr>
        <w:t xml:space="preserve"> </w:t>
      </w:r>
      <w:r w:rsidR="003E5490" w:rsidRPr="00621646">
        <w:rPr>
          <w:rFonts w:ascii="Arial" w:hAnsi="Arial" w:cs="Arial"/>
          <w:color w:val="auto"/>
        </w:rPr>
        <w:t>(2)</w:t>
      </w:r>
      <w:r w:rsidRPr="0043752C">
        <w:rPr>
          <w:rFonts w:ascii="Arial" w:hAnsi="Arial" w:cs="Arial"/>
          <w:color w:val="auto"/>
        </w:rPr>
        <w:t>" se refiere al monto resultante de aplicarle a los saldos diarios el porcentaje de reserva de liquidez correspondiente.</w:t>
      </w:r>
    </w:p>
    <w:p w:rsidR="005B00C8" w:rsidRPr="0043752C" w:rsidRDefault="005B00C8" w:rsidP="0089312A">
      <w:pPr>
        <w:pStyle w:val="NormalWeb"/>
        <w:numPr>
          <w:ilvl w:val="0"/>
          <w:numId w:val="5"/>
        </w:numPr>
        <w:spacing w:before="0" w:beforeAutospacing="0" w:after="0" w:afterAutospacing="0"/>
        <w:ind w:left="1315" w:right="601" w:hanging="357"/>
        <w:jc w:val="both"/>
        <w:rPr>
          <w:rFonts w:ascii="Arial" w:hAnsi="Arial" w:cs="Arial"/>
          <w:color w:val="auto"/>
        </w:rPr>
      </w:pPr>
      <w:r w:rsidRPr="0043752C">
        <w:rPr>
          <w:rFonts w:ascii="Arial" w:hAnsi="Arial" w:cs="Arial"/>
          <w:color w:val="auto"/>
        </w:rPr>
        <w:lastRenderedPageBreak/>
        <w:t>El</w:t>
      </w:r>
      <w:r w:rsidR="0089312A">
        <w:rPr>
          <w:rFonts w:ascii="Arial" w:hAnsi="Arial" w:cs="Arial"/>
          <w:color w:val="auto"/>
        </w:rPr>
        <w:t xml:space="preserve"> promedio mensual así como el</w:t>
      </w:r>
      <w:r w:rsidRPr="0043752C">
        <w:rPr>
          <w:rFonts w:ascii="Arial" w:hAnsi="Arial" w:cs="Arial"/>
          <w:color w:val="auto"/>
        </w:rPr>
        <w:t xml:space="preserve"> </w:t>
      </w:r>
      <w:r w:rsidR="0089312A">
        <w:rPr>
          <w:rFonts w:ascii="Arial" w:hAnsi="Arial" w:cs="Arial"/>
          <w:color w:val="auto"/>
        </w:rPr>
        <w:t>e</w:t>
      </w:r>
      <w:r w:rsidRPr="0043752C">
        <w:rPr>
          <w:rFonts w:ascii="Arial" w:hAnsi="Arial" w:cs="Arial"/>
          <w:color w:val="auto"/>
        </w:rPr>
        <w:t xml:space="preserve">xceso o insuficiencia de </w:t>
      </w:r>
      <w:r w:rsidR="0089312A">
        <w:rPr>
          <w:rFonts w:ascii="Arial" w:hAnsi="Arial" w:cs="Arial"/>
          <w:color w:val="auto"/>
        </w:rPr>
        <w:t>RL</w:t>
      </w:r>
      <w:r w:rsidRPr="0043752C">
        <w:rPr>
          <w:rFonts w:ascii="Arial" w:hAnsi="Arial" w:cs="Arial"/>
          <w:color w:val="auto"/>
        </w:rPr>
        <w:t xml:space="preserve"> </w:t>
      </w:r>
      <w:r w:rsidR="0089312A">
        <w:rPr>
          <w:rFonts w:ascii="Arial" w:hAnsi="Arial" w:cs="Arial"/>
          <w:color w:val="auto"/>
        </w:rPr>
        <w:t>será calculada automáticamente a partir de los datos declarados en cada anexo</w:t>
      </w:r>
      <w:r w:rsidR="00631E1D">
        <w:rPr>
          <w:rFonts w:ascii="Arial" w:hAnsi="Arial" w:cs="Arial"/>
          <w:color w:val="auto"/>
        </w:rPr>
        <w:t>.</w:t>
      </w:r>
      <w:r w:rsidR="00631E1D" w:rsidRPr="00506282">
        <w:rPr>
          <w:rFonts w:ascii="Arial" w:hAnsi="Arial" w:cs="Arial"/>
          <w:color w:val="auto"/>
        </w:rPr>
        <w:t xml:space="preserve"> </w:t>
      </w:r>
    </w:p>
    <w:p w:rsidR="005B00C8" w:rsidRPr="0043752C" w:rsidRDefault="005B00C8" w:rsidP="0089312A">
      <w:pPr>
        <w:pStyle w:val="NormalWeb"/>
        <w:spacing w:before="0" w:beforeAutospacing="0" w:after="0" w:afterAutospacing="0"/>
        <w:ind w:right="601"/>
        <w:jc w:val="both"/>
        <w:rPr>
          <w:rFonts w:ascii="Arial" w:hAnsi="Arial" w:cs="Arial"/>
          <w:color w:val="auto"/>
        </w:rPr>
      </w:pPr>
    </w:p>
    <w:p w:rsidR="005B00C8" w:rsidRDefault="001F66AD" w:rsidP="00B57B39">
      <w:pPr>
        <w:pStyle w:val="NormalWeb"/>
        <w:numPr>
          <w:ilvl w:val="0"/>
          <w:numId w:val="4"/>
        </w:numPr>
        <w:spacing w:before="150" w:beforeAutospacing="0" w:after="150" w:afterAutospacing="0"/>
        <w:jc w:val="both"/>
        <w:rPr>
          <w:rFonts w:ascii="Arial" w:hAnsi="Arial" w:cs="Arial"/>
          <w:color w:val="auto"/>
        </w:rPr>
      </w:pPr>
      <w:r>
        <w:rPr>
          <w:rFonts w:ascii="Arial" w:hAnsi="Arial" w:cs="Arial"/>
          <w:color w:val="auto"/>
        </w:rPr>
        <w:t>En el apartado de Información adicional se debe detallar</w:t>
      </w:r>
      <w:r w:rsidR="003111A8" w:rsidRPr="0043752C">
        <w:rPr>
          <w:rFonts w:ascii="Arial" w:hAnsi="Arial" w:cs="Arial"/>
          <w:color w:val="auto"/>
        </w:rPr>
        <w:t xml:space="preserve"> </w:t>
      </w:r>
      <w:r>
        <w:rPr>
          <w:rFonts w:ascii="Arial" w:hAnsi="Arial" w:cs="Arial"/>
          <w:color w:val="auto"/>
        </w:rPr>
        <w:t xml:space="preserve">el saldo contable de </w:t>
      </w:r>
      <w:r w:rsidR="003111A8" w:rsidRPr="0043752C">
        <w:rPr>
          <w:rFonts w:ascii="Arial" w:hAnsi="Arial" w:cs="Arial"/>
          <w:color w:val="auto"/>
        </w:rPr>
        <w:t>inversiones</w:t>
      </w:r>
      <w:r w:rsidR="005B00C8" w:rsidRPr="0043752C">
        <w:rPr>
          <w:rFonts w:ascii="Arial" w:hAnsi="Arial" w:cs="Arial"/>
          <w:color w:val="auto"/>
        </w:rPr>
        <w:t xml:space="preserve"> que</w:t>
      </w:r>
      <w:r>
        <w:rPr>
          <w:rFonts w:ascii="Arial" w:hAnsi="Arial" w:cs="Arial"/>
          <w:color w:val="auto"/>
        </w:rPr>
        <w:t xml:space="preserve"> respaldan RL</w:t>
      </w:r>
      <w:r w:rsidR="005B00C8" w:rsidRPr="0043752C">
        <w:rPr>
          <w:rFonts w:ascii="Arial" w:hAnsi="Arial" w:cs="Arial"/>
          <w:color w:val="auto"/>
        </w:rPr>
        <w:t xml:space="preserve"> </w:t>
      </w:r>
      <w:r>
        <w:rPr>
          <w:rFonts w:ascii="Arial" w:hAnsi="Arial" w:cs="Arial"/>
          <w:color w:val="auto"/>
        </w:rPr>
        <w:t xml:space="preserve"> al cierre de cada mes</w:t>
      </w:r>
      <w:r w:rsidR="005B00C8" w:rsidRPr="0043752C">
        <w:rPr>
          <w:rFonts w:ascii="Arial" w:hAnsi="Arial" w:cs="Arial"/>
          <w:color w:val="auto"/>
        </w:rPr>
        <w:t xml:space="preserve">. </w:t>
      </w:r>
    </w:p>
    <w:p w:rsidR="00950A80" w:rsidRPr="006D3634" w:rsidRDefault="00C716EE" w:rsidP="00B57B39">
      <w:pPr>
        <w:pStyle w:val="NormalWeb"/>
        <w:numPr>
          <w:ilvl w:val="0"/>
          <w:numId w:val="4"/>
        </w:numPr>
        <w:spacing w:before="150" w:beforeAutospacing="0" w:after="150" w:afterAutospacing="0"/>
        <w:jc w:val="both"/>
        <w:rPr>
          <w:rFonts w:ascii="Arial" w:hAnsi="Arial" w:cs="Arial"/>
          <w:color w:val="auto"/>
        </w:rPr>
      </w:pPr>
      <w:r>
        <w:rPr>
          <w:rFonts w:ascii="Arial" w:hAnsi="Arial" w:cs="Arial"/>
          <w:color w:val="auto"/>
        </w:rPr>
        <w:t xml:space="preserve">Los </w:t>
      </w:r>
      <w:r w:rsidR="000B4904" w:rsidRPr="006D3634">
        <w:rPr>
          <w:rFonts w:ascii="Arial" w:hAnsi="Arial" w:cs="Arial"/>
          <w:color w:val="auto"/>
        </w:rPr>
        <w:t xml:space="preserve"> cuadros</w:t>
      </w:r>
      <w:r>
        <w:rPr>
          <w:rFonts w:ascii="Arial" w:hAnsi="Arial" w:cs="Arial"/>
          <w:color w:val="auto"/>
        </w:rPr>
        <w:t xml:space="preserve"> anexos a este documento deben ser</w:t>
      </w:r>
      <w:r w:rsidR="000B4904" w:rsidRPr="006D3634">
        <w:rPr>
          <w:rFonts w:ascii="Arial" w:hAnsi="Arial" w:cs="Arial"/>
          <w:color w:val="auto"/>
        </w:rPr>
        <w:t xml:space="preserve"> </w:t>
      </w:r>
      <w:r>
        <w:rPr>
          <w:rFonts w:ascii="Arial" w:hAnsi="Arial" w:cs="Arial"/>
          <w:color w:val="auto"/>
        </w:rPr>
        <w:t>completados por el CPA y</w:t>
      </w:r>
      <w:r w:rsidR="000B4904" w:rsidRPr="006D3634">
        <w:rPr>
          <w:rFonts w:ascii="Arial" w:hAnsi="Arial" w:cs="Arial"/>
          <w:color w:val="auto"/>
        </w:rPr>
        <w:t xml:space="preserve">  </w:t>
      </w:r>
      <w:r>
        <w:rPr>
          <w:rFonts w:ascii="Arial" w:hAnsi="Arial" w:cs="Arial"/>
          <w:color w:val="auto"/>
        </w:rPr>
        <w:t xml:space="preserve">su VERSIÓN FINAL </w:t>
      </w:r>
      <w:r w:rsidR="000B4904" w:rsidRPr="006D3634">
        <w:rPr>
          <w:rFonts w:ascii="Arial" w:hAnsi="Arial" w:cs="Arial"/>
          <w:color w:val="auto"/>
        </w:rPr>
        <w:t xml:space="preserve">debe </w:t>
      </w:r>
      <w:r w:rsidR="00E83CBD" w:rsidRPr="006D3634">
        <w:rPr>
          <w:rFonts w:ascii="Arial" w:hAnsi="Arial" w:cs="Arial"/>
          <w:color w:val="auto"/>
        </w:rPr>
        <w:t>adjuntar</w:t>
      </w:r>
      <w:r>
        <w:rPr>
          <w:rFonts w:ascii="Arial" w:hAnsi="Arial" w:cs="Arial"/>
          <w:color w:val="auto"/>
        </w:rPr>
        <w:t>se</w:t>
      </w:r>
      <w:r w:rsidR="00E83CBD" w:rsidRPr="006D3634">
        <w:rPr>
          <w:rFonts w:ascii="Arial" w:hAnsi="Arial" w:cs="Arial"/>
          <w:color w:val="auto"/>
        </w:rPr>
        <w:t xml:space="preserve">  </w:t>
      </w:r>
      <w:r>
        <w:rPr>
          <w:rFonts w:ascii="Arial" w:hAnsi="Arial" w:cs="Arial"/>
          <w:color w:val="auto"/>
        </w:rPr>
        <w:t>en</w:t>
      </w:r>
      <w:r w:rsidR="00E83CBD" w:rsidRPr="006D3634">
        <w:rPr>
          <w:rFonts w:ascii="Arial" w:hAnsi="Arial" w:cs="Arial"/>
          <w:color w:val="auto"/>
        </w:rPr>
        <w:t xml:space="preserve"> la  </w:t>
      </w:r>
      <w:r w:rsidR="00E83CBD" w:rsidRPr="006D3634">
        <w:rPr>
          <w:rFonts w:ascii="Arial" w:hAnsi="Arial" w:cs="Arial"/>
        </w:rPr>
        <w:t>aplicación denominada “Sistema Automatizado para incluir  información de la Reserva de Liquidez”</w:t>
      </w:r>
      <w:r>
        <w:rPr>
          <w:rFonts w:ascii="Arial" w:hAnsi="Arial" w:cs="Arial"/>
        </w:rPr>
        <w:t>, utilizada por el CPA como parte del proceso de generación del Estado dictaminado sobre el cumplimiento de la reserva de liquidez</w:t>
      </w:r>
      <w:r w:rsidR="00E83CBD" w:rsidRPr="006D3634">
        <w:rPr>
          <w:rFonts w:ascii="Arial" w:hAnsi="Arial" w:cs="Arial"/>
        </w:rPr>
        <w:t xml:space="preserve">.  </w:t>
      </w:r>
      <w:r w:rsidR="00E83CBD" w:rsidRPr="006D3634">
        <w:rPr>
          <w:rFonts w:ascii="Arial" w:hAnsi="Arial" w:cs="Arial"/>
          <w:color w:val="auto"/>
        </w:rPr>
        <w:t xml:space="preserve"> </w:t>
      </w:r>
    </w:p>
    <w:p w:rsidR="001F66AD" w:rsidRPr="00885282" w:rsidRDefault="001F66AD" w:rsidP="001F66AD">
      <w:pPr>
        <w:pStyle w:val="NormalWeb"/>
        <w:numPr>
          <w:ilvl w:val="0"/>
          <w:numId w:val="4"/>
        </w:numPr>
        <w:spacing w:before="150" w:beforeAutospacing="0" w:after="150" w:afterAutospacing="0"/>
        <w:jc w:val="both"/>
        <w:rPr>
          <w:rFonts w:ascii="Arial" w:hAnsi="Arial" w:cs="Arial"/>
        </w:rPr>
      </w:pPr>
      <w:r>
        <w:rPr>
          <w:rFonts w:ascii="Arial" w:hAnsi="Arial" w:cs="Arial"/>
        </w:rPr>
        <w:t>Cuando la SUGEF lo requiera,  l</w:t>
      </w:r>
      <w:r w:rsidRPr="00885282">
        <w:rPr>
          <w:rFonts w:ascii="Arial" w:hAnsi="Arial" w:cs="Arial"/>
        </w:rPr>
        <w:t xml:space="preserve">as entidades deberán proporcionar los registros contables que demuestren la veracidad de la información enviada. </w:t>
      </w:r>
    </w:p>
    <w:p w:rsidR="005B00C8" w:rsidRDefault="005B00C8" w:rsidP="005B00C8">
      <w:pPr>
        <w:pStyle w:val="NormalWeb"/>
      </w:pPr>
    </w:p>
    <w:p w:rsidR="005B00C8" w:rsidRDefault="00C379A5" w:rsidP="005B00C8">
      <w:pPr>
        <w:rPr>
          <w:color w:val="181818"/>
        </w:rPr>
      </w:pPr>
      <w:r>
        <w:rPr>
          <w:color w:val="181818"/>
        </w:rPr>
        <w:pict>
          <v:rect id="_x0000_i1025" style="width:0;height:1.5pt" o:hralign="center" o:hrstd="t" o:hr="t" fillcolor="#aca899" stroked="f"/>
        </w:pict>
      </w:r>
    </w:p>
    <w:p w:rsidR="006C74ED" w:rsidRDefault="006C74ED"/>
    <w:p w:rsidR="00C716EE" w:rsidRDefault="00C716EE"/>
    <w:p w:rsidR="00C716EE" w:rsidRDefault="00C716EE">
      <w:r>
        <w:t xml:space="preserve">   </w:t>
      </w:r>
      <w:r w:rsidR="00777F05">
        <w:tab/>
      </w:r>
      <w:bookmarkStart w:id="1" w:name="_GoBack"/>
      <w:bookmarkStart w:id="2" w:name="_MON_1547966766"/>
      <w:bookmarkEnd w:id="2"/>
      <w:r w:rsidR="00C379A5">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9.2pt;height:50.4pt" o:ole="">
            <v:imagedata r:id="rId7" o:title=""/>
          </v:shape>
          <o:OLEObject Type="Embed" ProgID="Excel.Sheet.12" ShapeID="_x0000_i1047" DrawAspect="Icon" ObjectID="_1547966815" r:id="rId8"/>
        </w:object>
      </w:r>
      <w:bookmarkEnd w:id="1"/>
      <w:r w:rsidR="00777F05">
        <w:tab/>
      </w:r>
      <w:r w:rsidR="00777F05">
        <w:tab/>
      </w:r>
      <w:bookmarkStart w:id="3" w:name="_MON_1547966780"/>
      <w:bookmarkEnd w:id="3"/>
      <w:r w:rsidR="00C379A5">
        <w:object w:dxaOrig="1531" w:dyaOrig="990">
          <v:shape id="_x0000_i1045" type="#_x0000_t75" style="width:79.2pt;height:50.4pt" o:ole="">
            <v:imagedata r:id="rId9" o:title=""/>
          </v:shape>
          <o:OLEObject Type="Embed" ProgID="Excel.Sheet.12" ShapeID="_x0000_i1045" DrawAspect="Icon" ObjectID="_1547966816" r:id="rId10"/>
        </w:object>
      </w:r>
    </w:p>
    <w:sectPr w:rsidR="00C716EE">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367" w:rsidRDefault="004D5367" w:rsidP="0006007F">
      <w:r>
        <w:separator/>
      </w:r>
    </w:p>
  </w:endnote>
  <w:endnote w:type="continuationSeparator" w:id="0">
    <w:p w:rsidR="004D5367" w:rsidRDefault="004D5367" w:rsidP="0006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367" w:rsidRDefault="004D5367" w:rsidP="0006007F">
      <w:r>
        <w:separator/>
      </w:r>
    </w:p>
  </w:footnote>
  <w:footnote w:type="continuationSeparator" w:id="0">
    <w:p w:rsidR="004D5367" w:rsidRDefault="004D5367" w:rsidP="00060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07F" w:rsidRPr="0006007F" w:rsidRDefault="001B0102" w:rsidP="0006007F">
    <w:pPr>
      <w:pStyle w:val="Encabezado"/>
      <w:pBdr>
        <w:bottom w:val="single" w:sz="4" w:space="3" w:color="auto"/>
      </w:pBdr>
      <w:ind w:right="-1"/>
      <w:rPr>
        <w:sz w:val="22"/>
        <w:szCs w:val="22"/>
      </w:rPr>
    </w:pPr>
    <w:r w:rsidRPr="0006007F">
      <w:rPr>
        <w:noProof/>
        <w:lang w:val="es-CR" w:eastAsia="es-CR"/>
      </w:rPr>
      <w:drawing>
        <wp:inline distT="0" distB="0" distL="0" distR="0">
          <wp:extent cx="1098550" cy="682625"/>
          <wp:effectExtent l="0" t="0" r="6350" b="3175"/>
          <wp:docPr id="2" name="Imagen 17" descr="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SUGEF"/>
                  <pic:cNvPicPr>
                    <a:picLocks noChangeAspect="1" noChangeArrowheads="1"/>
                  </pic:cNvPicPr>
                </pic:nvPicPr>
                <pic:blipFill>
                  <a:blip r:embed="rId1">
                    <a:lum bright="-6000" contrast="6000"/>
                    <a:extLst>
                      <a:ext uri="{28A0092B-C50C-407E-A947-70E740481C1C}">
                        <a14:useLocalDpi xmlns:a14="http://schemas.microsoft.com/office/drawing/2010/main" val="0"/>
                      </a:ext>
                    </a:extLst>
                  </a:blip>
                  <a:srcRect/>
                  <a:stretch>
                    <a:fillRect/>
                  </a:stretch>
                </pic:blipFill>
                <pic:spPr bwMode="auto">
                  <a:xfrm>
                    <a:off x="0" y="0"/>
                    <a:ext cx="1098550" cy="682625"/>
                  </a:xfrm>
                  <a:prstGeom prst="rect">
                    <a:avLst/>
                  </a:prstGeom>
                  <a:noFill/>
                  <a:ln>
                    <a:noFill/>
                  </a:ln>
                </pic:spPr>
              </pic:pic>
            </a:graphicData>
          </a:graphic>
        </wp:inline>
      </w:drawing>
    </w:r>
    <w:r w:rsidR="0006007F">
      <w:t xml:space="preserve"> </w:t>
    </w:r>
    <w:r w:rsidR="0006007F" w:rsidRPr="0006007F">
      <w:rPr>
        <w:rFonts w:ascii="Arial" w:hAnsi="Arial"/>
        <w:b/>
        <w:sz w:val="22"/>
        <w:szCs w:val="22"/>
      </w:rPr>
      <w:t>SUPERINTENDENCIA GENERAL DE ENTIDADES FINANCIERAS</w:t>
    </w:r>
  </w:p>
  <w:p w:rsidR="0006007F" w:rsidRDefault="000600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5424"/>
    <w:multiLevelType w:val="hybridMultilevel"/>
    <w:tmpl w:val="4C0E3FF4"/>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
    <w:nsid w:val="1C581131"/>
    <w:multiLevelType w:val="multilevel"/>
    <w:tmpl w:val="802EC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1F6D35"/>
    <w:multiLevelType w:val="multilevel"/>
    <w:tmpl w:val="93C2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5D291F"/>
    <w:multiLevelType w:val="multilevel"/>
    <w:tmpl w:val="A18AC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111258"/>
    <w:multiLevelType w:val="multilevel"/>
    <w:tmpl w:val="BB24F8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810892"/>
    <w:multiLevelType w:val="multilevel"/>
    <w:tmpl w:val="EDC09C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4046566"/>
    <w:multiLevelType w:val="multilevel"/>
    <w:tmpl w:val="93C6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ED"/>
    <w:rsid w:val="0006007F"/>
    <w:rsid w:val="00091BFB"/>
    <w:rsid w:val="000A440E"/>
    <w:rsid w:val="000B4904"/>
    <w:rsid w:val="000C12E8"/>
    <w:rsid w:val="000C6D0C"/>
    <w:rsid w:val="0010517E"/>
    <w:rsid w:val="00150E1B"/>
    <w:rsid w:val="00153CBF"/>
    <w:rsid w:val="00155653"/>
    <w:rsid w:val="00171ED1"/>
    <w:rsid w:val="001A07BB"/>
    <w:rsid w:val="001B0102"/>
    <w:rsid w:val="001B33F4"/>
    <w:rsid w:val="001E01A2"/>
    <w:rsid w:val="001F66AD"/>
    <w:rsid w:val="00231359"/>
    <w:rsid w:val="002906B8"/>
    <w:rsid w:val="002A7FE2"/>
    <w:rsid w:val="002B0E98"/>
    <w:rsid w:val="002B60E6"/>
    <w:rsid w:val="002C11D5"/>
    <w:rsid w:val="003111A8"/>
    <w:rsid w:val="0031229E"/>
    <w:rsid w:val="003209C3"/>
    <w:rsid w:val="00367A87"/>
    <w:rsid w:val="003B4E58"/>
    <w:rsid w:val="003E1B8C"/>
    <w:rsid w:val="003E5490"/>
    <w:rsid w:val="0043752C"/>
    <w:rsid w:val="00447B0D"/>
    <w:rsid w:val="004C3929"/>
    <w:rsid w:val="004D5367"/>
    <w:rsid w:val="0051687C"/>
    <w:rsid w:val="00516FCA"/>
    <w:rsid w:val="00527AB7"/>
    <w:rsid w:val="00540E76"/>
    <w:rsid w:val="005512AD"/>
    <w:rsid w:val="0057509D"/>
    <w:rsid w:val="005B00C8"/>
    <w:rsid w:val="00605334"/>
    <w:rsid w:val="006178EA"/>
    <w:rsid w:val="006212BA"/>
    <w:rsid w:val="00621646"/>
    <w:rsid w:val="00624ED2"/>
    <w:rsid w:val="00631E1D"/>
    <w:rsid w:val="00683344"/>
    <w:rsid w:val="006860E2"/>
    <w:rsid w:val="00696D0F"/>
    <w:rsid w:val="006B59CA"/>
    <w:rsid w:val="006C74ED"/>
    <w:rsid w:val="006D3634"/>
    <w:rsid w:val="006D697D"/>
    <w:rsid w:val="0070454B"/>
    <w:rsid w:val="00711BED"/>
    <w:rsid w:val="00777F05"/>
    <w:rsid w:val="00797638"/>
    <w:rsid w:val="007C6523"/>
    <w:rsid w:val="007E5C25"/>
    <w:rsid w:val="007F01F2"/>
    <w:rsid w:val="00822766"/>
    <w:rsid w:val="00831F9B"/>
    <w:rsid w:val="008438A8"/>
    <w:rsid w:val="00870AD7"/>
    <w:rsid w:val="00885282"/>
    <w:rsid w:val="0089312A"/>
    <w:rsid w:val="008B75EC"/>
    <w:rsid w:val="00924AE5"/>
    <w:rsid w:val="00943944"/>
    <w:rsid w:val="00950A80"/>
    <w:rsid w:val="00966C09"/>
    <w:rsid w:val="00974126"/>
    <w:rsid w:val="00983387"/>
    <w:rsid w:val="009D310E"/>
    <w:rsid w:val="009D678C"/>
    <w:rsid w:val="00A51424"/>
    <w:rsid w:val="00A51966"/>
    <w:rsid w:val="00A57BC1"/>
    <w:rsid w:val="00A901DE"/>
    <w:rsid w:val="00AA25DC"/>
    <w:rsid w:val="00B41844"/>
    <w:rsid w:val="00B478AE"/>
    <w:rsid w:val="00B52101"/>
    <w:rsid w:val="00B57B39"/>
    <w:rsid w:val="00B829ED"/>
    <w:rsid w:val="00B97CF6"/>
    <w:rsid w:val="00B97DC3"/>
    <w:rsid w:val="00BB18FE"/>
    <w:rsid w:val="00BB3DE7"/>
    <w:rsid w:val="00BC13EA"/>
    <w:rsid w:val="00C22678"/>
    <w:rsid w:val="00C379A5"/>
    <w:rsid w:val="00C4058D"/>
    <w:rsid w:val="00C716EE"/>
    <w:rsid w:val="00C71E00"/>
    <w:rsid w:val="00C742D5"/>
    <w:rsid w:val="00C97433"/>
    <w:rsid w:val="00CA589E"/>
    <w:rsid w:val="00CF773F"/>
    <w:rsid w:val="00D568AA"/>
    <w:rsid w:val="00D6060A"/>
    <w:rsid w:val="00D8265A"/>
    <w:rsid w:val="00D96FD8"/>
    <w:rsid w:val="00DD385C"/>
    <w:rsid w:val="00DF1D5A"/>
    <w:rsid w:val="00DF7EEB"/>
    <w:rsid w:val="00E67294"/>
    <w:rsid w:val="00E77A80"/>
    <w:rsid w:val="00E83A6B"/>
    <w:rsid w:val="00E83CBD"/>
    <w:rsid w:val="00E83CD3"/>
    <w:rsid w:val="00E8540E"/>
    <w:rsid w:val="00ED1BF2"/>
    <w:rsid w:val="00EF597D"/>
    <w:rsid w:val="00F00B8F"/>
    <w:rsid w:val="00F45510"/>
    <w:rsid w:val="00FB2AF7"/>
    <w:rsid w:val="00FC6C3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6F951F0-E065-4EC4-A4C7-301AF5AC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qFormat/>
    <w:rsid w:val="005B00C8"/>
    <w:pPr>
      <w:spacing w:before="100" w:beforeAutospacing="1" w:after="100" w:afterAutospacing="1"/>
      <w:jc w:val="center"/>
      <w:outlineLvl w:val="0"/>
    </w:pPr>
    <w:rPr>
      <w:rFonts w:ascii="Tahoma" w:hAnsi="Tahoma" w:cs="Tahoma"/>
      <w:b/>
      <w:bCs/>
      <w:caps/>
      <w:smallCaps/>
      <w:color w:val="000066"/>
      <w:kern w:val="36"/>
      <w:sz w:val="27"/>
      <w:szCs w:val="27"/>
    </w:rPr>
  </w:style>
  <w:style w:type="paragraph" w:styleId="Ttulo2">
    <w:name w:val="heading 2"/>
    <w:basedOn w:val="Normal"/>
    <w:qFormat/>
    <w:rsid w:val="005B00C8"/>
    <w:pPr>
      <w:spacing w:before="100" w:beforeAutospacing="1" w:after="100" w:afterAutospacing="1"/>
      <w:jc w:val="center"/>
      <w:outlineLvl w:val="1"/>
    </w:pPr>
    <w:rPr>
      <w:rFonts w:ascii="Tahoma" w:hAnsi="Tahoma" w:cs="Tahoma"/>
      <w:b/>
      <w:bCs/>
      <w:color w:val="B34700"/>
      <w:sz w:val="20"/>
      <w:szCs w:val="20"/>
    </w:rPr>
  </w:style>
  <w:style w:type="paragraph" w:styleId="Ttulo4">
    <w:name w:val="heading 4"/>
    <w:basedOn w:val="Normal"/>
    <w:qFormat/>
    <w:rsid w:val="005B00C8"/>
    <w:pPr>
      <w:spacing w:before="100" w:beforeAutospacing="1" w:after="100" w:afterAutospacing="1"/>
      <w:outlineLvl w:val="3"/>
    </w:pPr>
    <w:rPr>
      <w:b/>
      <w:bCs/>
      <w:i/>
      <w:iCs/>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5B00C8"/>
    <w:rPr>
      <w:rFonts w:ascii="Times New Roman" w:hAnsi="Times New Roman" w:cs="Times New Roman" w:hint="default"/>
      <w:b w:val="0"/>
      <w:bCs w:val="0"/>
      <w:i w:val="0"/>
      <w:iCs w:val="0"/>
      <w:caps w:val="0"/>
      <w:smallCaps w:val="0"/>
      <w:color w:val="0033FF"/>
      <w:sz w:val="24"/>
      <w:szCs w:val="24"/>
      <w:u w:val="single"/>
      <w:shd w:val="clear" w:color="auto" w:fill="auto"/>
    </w:rPr>
  </w:style>
  <w:style w:type="paragraph" w:styleId="NormalWeb">
    <w:name w:val="Normal (Web)"/>
    <w:basedOn w:val="Normal"/>
    <w:uiPriority w:val="99"/>
    <w:rsid w:val="005B00C8"/>
    <w:pPr>
      <w:spacing w:before="100" w:beforeAutospacing="1" w:after="100" w:afterAutospacing="1"/>
    </w:pPr>
    <w:rPr>
      <w:color w:val="000000"/>
    </w:rPr>
  </w:style>
  <w:style w:type="character" w:styleId="nfasis">
    <w:name w:val="Emphasis"/>
    <w:uiPriority w:val="20"/>
    <w:qFormat/>
    <w:rsid w:val="008438A8"/>
    <w:rPr>
      <w:i/>
      <w:iCs/>
    </w:rPr>
  </w:style>
  <w:style w:type="paragraph" w:styleId="Encabezado">
    <w:name w:val="header"/>
    <w:basedOn w:val="Normal"/>
    <w:link w:val="EncabezadoCar"/>
    <w:uiPriority w:val="99"/>
    <w:unhideWhenUsed/>
    <w:rsid w:val="0006007F"/>
    <w:pPr>
      <w:tabs>
        <w:tab w:val="center" w:pos="4419"/>
        <w:tab w:val="right" w:pos="8838"/>
      </w:tabs>
    </w:pPr>
  </w:style>
  <w:style w:type="character" w:customStyle="1" w:styleId="EncabezadoCar">
    <w:name w:val="Encabezado Car"/>
    <w:link w:val="Encabezado"/>
    <w:uiPriority w:val="99"/>
    <w:rsid w:val="0006007F"/>
    <w:rPr>
      <w:sz w:val="24"/>
      <w:szCs w:val="24"/>
      <w:lang w:val="es-ES" w:eastAsia="es-ES"/>
    </w:rPr>
  </w:style>
  <w:style w:type="paragraph" w:styleId="Piedepgina">
    <w:name w:val="footer"/>
    <w:basedOn w:val="Normal"/>
    <w:link w:val="PiedepginaCar"/>
    <w:uiPriority w:val="99"/>
    <w:unhideWhenUsed/>
    <w:rsid w:val="0006007F"/>
    <w:pPr>
      <w:tabs>
        <w:tab w:val="center" w:pos="4419"/>
        <w:tab w:val="right" w:pos="8838"/>
      </w:tabs>
    </w:pPr>
  </w:style>
  <w:style w:type="character" w:customStyle="1" w:styleId="PiedepginaCar">
    <w:name w:val="Pie de página Car"/>
    <w:link w:val="Piedepgina"/>
    <w:uiPriority w:val="99"/>
    <w:rsid w:val="0006007F"/>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338374">
      <w:bodyDiv w:val="1"/>
      <w:marLeft w:val="0"/>
      <w:marRight w:val="0"/>
      <w:marTop w:val="0"/>
      <w:marBottom w:val="0"/>
      <w:divBdr>
        <w:top w:val="none" w:sz="0" w:space="0" w:color="auto"/>
        <w:left w:val="none" w:sz="0" w:space="0" w:color="auto"/>
        <w:bottom w:val="none" w:sz="0" w:space="0" w:color="auto"/>
        <w:right w:val="none" w:sz="0" w:space="0" w:color="auto"/>
      </w:divBdr>
    </w:div>
    <w:div w:id="1427575617">
      <w:bodyDiv w:val="1"/>
      <w:marLeft w:val="0"/>
      <w:marRight w:val="0"/>
      <w:marTop w:val="0"/>
      <w:marBottom w:val="0"/>
      <w:divBdr>
        <w:top w:val="none" w:sz="0" w:space="0" w:color="auto"/>
        <w:left w:val="none" w:sz="0" w:space="0" w:color="auto"/>
        <w:bottom w:val="none" w:sz="0" w:space="0" w:color="auto"/>
        <w:right w:val="none" w:sz="0" w:space="0" w:color="auto"/>
      </w:divBdr>
      <w:divsChild>
        <w:div w:id="603422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39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083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18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19051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031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2367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628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500</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CARTA CIRCULAR EXTERNA SUGEF-32-97</vt:lpstr>
    </vt:vector>
  </TitlesOfParts>
  <Company>SUGEF</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CIRCULAR EXTERNA SUGEF-32-97</dc:title>
  <dc:subject/>
  <dc:creator>ejimenez</dc:creator>
  <cp:keywords/>
  <dc:description/>
  <cp:lastModifiedBy>Elvis Jimenez Gutierrez</cp:lastModifiedBy>
  <cp:revision>7</cp:revision>
  <dcterms:created xsi:type="dcterms:W3CDTF">2017-02-02T21:47:00Z</dcterms:created>
  <dcterms:modified xsi:type="dcterms:W3CDTF">2017-02-07T16:00:00Z</dcterms:modified>
</cp:coreProperties>
</file>