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25F" w:rsidRPr="0072025F" w:rsidRDefault="0072025F" w:rsidP="0072025F">
      <w:pPr>
        <w:jc w:val="both"/>
        <w:rPr>
          <w:rFonts w:ascii="Franklin Gothic Book" w:hAnsi="Franklin Gothic Book"/>
          <w:b/>
          <w:bCs/>
        </w:rPr>
      </w:pPr>
      <w:bookmarkStart w:id="0" w:name="_Toc420591522"/>
      <w:r w:rsidRPr="0072025F">
        <w:rPr>
          <w:rFonts w:ascii="Franklin Gothic Book" w:hAnsi="Franklin Gothic Book"/>
          <w:b/>
          <w:bCs/>
        </w:rPr>
        <w:t>BANCO CENTRAL DE COSTA RICA</w:t>
      </w:r>
      <w:bookmarkEnd w:id="0"/>
    </w:p>
    <w:p w:rsidR="0072025F" w:rsidRPr="0072025F" w:rsidRDefault="0072025F" w:rsidP="0072025F">
      <w:pPr>
        <w:jc w:val="both"/>
        <w:rPr>
          <w:rFonts w:ascii="Franklin Gothic Book" w:hAnsi="Franklin Gothic Book"/>
        </w:rPr>
      </w:pPr>
      <w:r w:rsidRPr="0072025F">
        <w:rPr>
          <w:rFonts w:ascii="Franklin Gothic Book" w:hAnsi="Franklin Gothic Book"/>
          <w:lang w:val="es-ES_tradnl"/>
        </w:rPr>
        <w:t xml:space="preserve">La Junta Directiva del Banco Central de Costa Rica en el artículo 9, del acta de la sesión 5686-2015, celebrada el 6 de mayo del 2015, </w:t>
      </w:r>
    </w:p>
    <w:p w:rsidR="0072025F" w:rsidRPr="0072025F" w:rsidRDefault="0072025F" w:rsidP="0072025F">
      <w:pPr>
        <w:jc w:val="both"/>
        <w:rPr>
          <w:rFonts w:ascii="Franklin Gothic Book" w:hAnsi="Franklin Gothic Book"/>
        </w:rPr>
      </w:pPr>
      <w:proofErr w:type="gramStart"/>
      <w:r w:rsidRPr="0072025F">
        <w:rPr>
          <w:rFonts w:ascii="Franklin Gothic Book" w:hAnsi="Franklin Gothic Book"/>
          <w:b/>
          <w:bCs/>
          <w:lang w:val="es-ES_tradnl"/>
        </w:rPr>
        <w:t>considerando</w:t>
      </w:r>
      <w:proofErr w:type="gramEnd"/>
      <w:r w:rsidRPr="0072025F">
        <w:rPr>
          <w:rFonts w:ascii="Franklin Gothic Book" w:hAnsi="Franklin Gothic Book"/>
          <w:b/>
          <w:bCs/>
          <w:lang w:val="es-ES_tradnl"/>
        </w:rPr>
        <w:t xml:space="preserve"> que:</w:t>
      </w:r>
    </w:p>
    <w:p w:rsidR="0072025F" w:rsidRPr="0072025F" w:rsidRDefault="0072025F" w:rsidP="0072025F">
      <w:pPr>
        <w:jc w:val="both"/>
        <w:rPr>
          <w:rFonts w:ascii="Franklin Gothic Book" w:hAnsi="Franklin Gothic Book"/>
        </w:rPr>
      </w:pPr>
      <w:r w:rsidRPr="0072025F">
        <w:rPr>
          <w:rFonts w:ascii="Franklin Gothic Book" w:hAnsi="Franklin Gothic Book"/>
          <w:lang w:val="es-ES_tradnl"/>
        </w:rPr>
        <w:t>A.</w:t>
      </w:r>
      <w:r w:rsidRPr="0072025F">
        <w:rPr>
          <w:rFonts w:ascii="Franklin Gothic Book" w:hAnsi="Franklin Gothic Book"/>
          <w:lang w:val="es-ES_tradnl"/>
        </w:rPr>
        <w:tab/>
        <w:t xml:space="preserve">El artículo 2 de la </w:t>
      </w:r>
      <w:r w:rsidRPr="0072025F">
        <w:rPr>
          <w:rFonts w:ascii="Franklin Gothic Book" w:hAnsi="Franklin Gothic Book"/>
          <w:i/>
          <w:iCs/>
          <w:lang w:val="es-ES_tradnl"/>
        </w:rPr>
        <w:t>Ley Orgánica del Banco Central de Costa Rica</w:t>
      </w:r>
      <w:r w:rsidRPr="0072025F">
        <w:rPr>
          <w:rFonts w:ascii="Franklin Gothic Book" w:hAnsi="Franklin Gothic Book"/>
          <w:lang w:val="es-ES_tradnl"/>
        </w:rPr>
        <w:t>, Ley 7558, establece como principales objetivos del Banco Central el mantener la estabilidad interna y externa de la moneda nacional y asegurar su conversión a otras monedas.</w:t>
      </w:r>
    </w:p>
    <w:p w:rsidR="0072025F" w:rsidRPr="0072025F" w:rsidRDefault="0072025F" w:rsidP="0072025F">
      <w:pPr>
        <w:jc w:val="both"/>
        <w:rPr>
          <w:rFonts w:ascii="Franklin Gothic Book" w:hAnsi="Franklin Gothic Book"/>
        </w:rPr>
      </w:pPr>
      <w:r w:rsidRPr="0072025F">
        <w:rPr>
          <w:rFonts w:ascii="Franklin Gothic Book" w:hAnsi="Franklin Gothic Book"/>
          <w:lang w:val="es-ES_tradnl"/>
        </w:rPr>
        <w:t>B.</w:t>
      </w:r>
      <w:r w:rsidRPr="0072025F">
        <w:rPr>
          <w:rFonts w:ascii="Franklin Gothic Book" w:hAnsi="Franklin Gothic Book"/>
          <w:lang w:val="es-ES_tradnl"/>
        </w:rPr>
        <w:tab/>
        <w:t xml:space="preserve">El literal d), </w:t>
      </w:r>
      <w:bookmarkStart w:id="1" w:name="_GoBack"/>
      <w:bookmarkEnd w:id="1"/>
      <w:r w:rsidRPr="0072025F">
        <w:rPr>
          <w:rFonts w:ascii="Franklin Gothic Book" w:hAnsi="Franklin Gothic Book"/>
          <w:lang w:val="es-ES_tradnl"/>
        </w:rPr>
        <w:t xml:space="preserve">artículo 2, de la </w:t>
      </w:r>
      <w:r w:rsidRPr="0072025F">
        <w:rPr>
          <w:rFonts w:ascii="Franklin Gothic Book" w:hAnsi="Franklin Gothic Book"/>
          <w:i/>
          <w:iCs/>
          <w:lang w:val="es-ES_tradnl"/>
        </w:rPr>
        <w:t>Ley Orgánica del Banco Central de Costa Ric</w:t>
      </w:r>
      <w:r w:rsidRPr="0072025F">
        <w:rPr>
          <w:rFonts w:ascii="Franklin Gothic Book" w:hAnsi="Franklin Gothic Book"/>
          <w:lang w:val="es-ES_tradnl"/>
        </w:rPr>
        <w:t xml:space="preserve">a estatuye como uno de los objetivos subsidiarios del Banco Central el promover un sistema de intermediación financiera estable, eficiente y competitivo. </w:t>
      </w:r>
    </w:p>
    <w:p w:rsidR="0072025F" w:rsidRPr="0072025F" w:rsidRDefault="0072025F" w:rsidP="0072025F">
      <w:pPr>
        <w:jc w:val="both"/>
        <w:rPr>
          <w:rFonts w:ascii="Franklin Gothic Book" w:hAnsi="Franklin Gothic Book"/>
        </w:rPr>
      </w:pPr>
      <w:r w:rsidRPr="0072025F">
        <w:rPr>
          <w:rFonts w:ascii="Franklin Gothic Book" w:hAnsi="Franklin Gothic Book"/>
          <w:lang w:val="es-ES_tradnl"/>
        </w:rPr>
        <w:t>C.</w:t>
      </w:r>
      <w:r w:rsidRPr="0072025F">
        <w:rPr>
          <w:rFonts w:ascii="Franklin Gothic Book" w:hAnsi="Franklin Gothic Book"/>
          <w:lang w:val="es-ES_tradnl"/>
        </w:rPr>
        <w:tab/>
      </w:r>
      <w:r w:rsidRPr="0072025F">
        <w:rPr>
          <w:rFonts w:ascii="Franklin Gothic Book" w:hAnsi="Franklin Gothic Book"/>
          <w:i/>
          <w:iCs/>
          <w:lang w:val="es-ES_tradnl"/>
        </w:rPr>
        <w:t>La Ley Orgánica del Banco Central de Costa Ric</w:t>
      </w:r>
      <w:r w:rsidRPr="0072025F">
        <w:rPr>
          <w:rFonts w:ascii="Franklin Gothic Book" w:hAnsi="Franklin Gothic Book"/>
          <w:lang w:val="es-ES_tradnl"/>
        </w:rPr>
        <w:t>a y la normativa monetaria consideran el uso del encaje mínimo legal y de la reserva de liquidez como un instrumento monetario, mediante el cual se regula la cantidad de dinero en circulación y facilita la administración del riesgo de liquidez.</w:t>
      </w:r>
    </w:p>
    <w:p w:rsidR="0072025F" w:rsidRPr="0072025F" w:rsidRDefault="0072025F" w:rsidP="0072025F">
      <w:pPr>
        <w:jc w:val="both"/>
        <w:rPr>
          <w:rFonts w:ascii="Franklin Gothic Book" w:hAnsi="Franklin Gothic Book"/>
        </w:rPr>
      </w:pPr>
      <w:r w:rsidRPr="0072025F">
        <w:rPr>
          <w:rFonts w:ascii="Franklin Gothic Book" w:hAnsi="Franklin Gothic Book"/>
          <w:lang w:val="es-ES_tradnl"/>
        </w:rPr>
        <w:t>D.</w:t>
      </w:r>
      <w:r w:rsidRPr="0072025F">
        <w:rPr>
          <w:rFonts w:ascii="Franklin Gothic Book" w:hAnsi="Franklin Gothic Book"/>
          <w:lang w:val="es-ES_tradnl"/>
        </w:rPr>
        <w:tab/>
        <w:t xml:space="preserve">El artículo 65 de la </w:t>
      </w:r>
      <w:r w:rsidRPr="0072025F">
        <w:rPr>
          <w:rFonts w:ascii="Franklin Gothic Book" w:hAnsi="Franklin Gothic Book"/>
          <w:i/>
          <w:iCs/>
          <w:lang w:val="es-ES_tradnl"/>
        </w:rPr>
        <w:t>Ley Orgánica del Banco Central de Costa Rica</w:t>
      </w:r>
      <w:r w:rsidRPr="0072025F">
        <w:rPr>
          <w:rFonts w:ascii="Franklin Gothic Book" w:hAnsi="Franklin Gothic Book"/>
          <w:lang w:val="es-ES_tradnl"/>
        </w:rPr>
        <w:t xml:space="preserve"> indica que la Junta Directiva podrá someter a requerimiento de encaje, cualesquiera otras cuentas del pasivo de las entidades financieras que, a su juicio, fueren similares a las obligaciones constituidas como depósitos.</w:t>
      </w:r>
    </w:p>
    <w:p w:rsidR="0072025F" w:rsidRPr="0072025F" w:rsidRDefault="0072025F" w:rsidP="0072025F">
      <w:pPr>
        <w:jc w:val="both"/>
        <w:rPr>
          <w:rFonts w:ascii="Franklin Gothic Book" w:hAnsi="Franklin Gothic Book"/>
        </w:rPr>
      </w:pPr>
      <w:r w:rsidRPr="0072025F">
        <w:rPr>
          <w:rFonts w:ascii="Franklin Gothic Book" w:hAnsi="Franklin Gothic Book"/>
          <w:lang w:val="es-ES_tradnl"/>
        </w:rPr>
        <w:t>G.</w:t>
      </w:r>
      <w:r w:rsidRPr="0072025F">
        <w:rPr>
          <w:rFonts w:ascii="Franklin Gothic Book" w:hAnsi="Franklin Gothic Book"/>
          <w:lang w:val="es-ES_tradnl"/>
        </w:rPr>
        <w:tab/>
        <w:t>Los recursos externos recibidos por los intermediarios financieros son pasivos similares a las obligaciones constituidas como depósitos, por lo que son parte de la oferta de fondos prestables que disponen para su labor de intermediación financiera y, por tanto, son una fuente de financiamiento del gasto total de la economía.</w:t>
      </w:r>
    </w:p>
    <w:p w:rsidR="0072025F" w:rsidRPr="0072025F" w:rsidRDefault="0072025F" w:rsidP="0072025F">
      <w:pPr>
        <w:jc w:val="both"/>
        <w:rPr>
          <w:rFonts w:ascii="Franklin Gothic Book" w:hAnsi="Franklin Gothic Book"/>
        </w:rPr>
      </w:pPr>
      <w:r w:rsidRPr="0072025F">
        <w:rPr>
          <w:rFonts w:ascii="Franklin Gothic Book" w:hAnsi="Franklin Gothic Book"/>
          <w:lang w:val="es-ES_tradnl"/>
        </w:rPr>
        <w:t>E.</w:t>
      </w:r>
      <w:r w:rsidRPr="0072025F">
        <w:rPr>
          <w:rFonts w:ascii="Franklin Gothic Book" w:hAnsi="Franklin Gothic Book"/>
          <w:lang w:val="es-ES_tradnl"/>
        </w:rPr>
        <w:tab/>
        <w:t>El uso de recursos externos ha aumentado su importancia relativa, en la atención de la demanda de crédito interno.</w:t>
      </w:r>
    </w:p>
    <w:p w:rsidR="0072025F" w:rsidRPr="0072025F" w:rsidRDefault="0072025F" w:rsidP="0072025F">
      <w:pPr>
        <w:jc w:val="both"/>
        <w:rPr>
          <w:rFonts w:ascii="Franklin Gothic Book" w:hAnsi="Franklin Gothic Book"/>
        </w:rPr>
      </w:pPr>
      <w:r w:rsidRPr="0072025F">
        <w:rPr>
          <w:rFonts w:ascii="Franklin Gothic Book" w:hAnsi="Franklin Gothic Book"/>
          <w:lang w:val="es-ES_tradnl"/>
        </w:rPr>
        <w:t>F.</w:t>
      </w:r>
      <w:r w:rsidRPr="0072025F">
        <w:rPr>
          <w:rFonts w:ascii="Franklin Gothic Book" w:hAnsi="Franklin Gothic Book"/>
          <w:lang w:val="es-ES_tradnl"/>
        </w:rPr>
        <w:tab/>
        <w:t>La posición deudora neta del Sistema Financiero Nacional (SFN) con el exterior podría comprometer su estabilidad a futuro, en el tanto se presente una restricción de liquidez internacional y se dificulte la atención de obligaciones con el exterior por parte de las entidades del SFN.</w:t>
      </w:r>
    </w:p>
    <w:p w:rsidR="0072025F" w:rsidRPr="0072025F" w:rsidRDefault="0072025F" w:rsidP="0072025F">
      <w:pPr>
        <w:jc w:val="both"/>
        <w:rPr>
          <w:rFonts w:ascii="Franklin Gothic Book" w:hAnsi="Franklin Gothic Book"/>
        </w:rPr>
      </w:pPr>
      <w:r w:rsidRPr="0072025F">
        <w:rPr>
          <w:rFonts w:ascii="Franklin Gothic Book" w:hAnsi="Franklin Gothic Book"/>
          <w:lang w:val="es-ES_tradnl"/>
        </w:rPr>
        <w:t>H.</w:t>
      </w:r>
      <w:r w:rsidRPr="0072025F">
        <w:rPr>
          <w:rFonts w:ascii="Franklin Gothic Book" w:hAnsi="Franklin Gothic Book"/>
          <w:lang w:val="es-ES_tradnl"/>
        </w:rPr>
        <w:tab/>
        <w:t xml:space="preserve">Las operaciones de endeudamiento externo de mediano y largo plazo están exentas de la aplicación del encaje mínimo legal, según lo dispuesto en el título iii, capítulo 1, literal d, numeral 1, literales a), b) y c) de las </w:t>
      </w:r>
      <w:r w:rsidRPr="0072025F">
        <w:rPr>
          <w:rFonts w:ascii="Franklin Gothic Book" w:hAnsi="Franklin Gothic Book"/>
          <w:i/>
          <w:iCs/>
          <w:lang w:val="es-ES_tradnl"/>
        </w:rPr>
        <w:t>Regulaciones de Política Monetaria</w:t>
      </w:r>
      <w:r w:rsidRPr="0072025F">
        <w:rPr>
          <w:rFonts w:ascii="Franklin Gothic Book" w:hAnsi="Franklin Gothic Book"/>
          <w:lang w:val="es-ES_tradnl"/>
        </w:rPr>
        <w:t>. Ello ha llevado a un arbitraje regulatorio en detrimento no solo del endeudamiento externo de corto plazo, sino también de los depósitos internos.</w:t>
      </w:r>
    </w:p>
    <w:p w:rsidR="0072025F" w:rsidRPr="0072025F" w:rsidRDefault="0072025F" w:rsidP="0072025F">
      <w:pPr>
        <w:jc w:val="both"/>
        <w:rPr>
          <w:rFonts w:ascii="Franklin Gothic Book" w:hAnsi="Franklin Gothic Book"/>
        </w:rPr>
      </w:pPr>
      <w:r w:rsidRPr="0072025F">
        <w:rPr>
          <w:rFonts w:ascii="Franklin Gothic Book" w:hAnsi="Franklin Gothic Book"/>
          <w:lang w:val="es-ES_tradnl"/>
        </w:rPr>
        <w:t>I.</w:t>
      </w:r>
      <w:r w:rsidRPr="0072025F">
        <w:rPr>
          <w:rFonts w:ascii="Franklin Gothic Book" w:hAnsi="Franklin Gothic Book"/>
          <w:lang w:val="es-ES_tradnl"/>
        </w:rPr>
        <w:tab/>
        <w:t xml:space="preserve">El artículo 117 de la </w:t>
      </w:r>
      <w:r w:rsidRPr="0072025F">
        <w:rPr>
          <w:rFonts w:ascii="Franklin Gothic Book" w:hAnsi="Franklin Gothic Book"/>
          <w:i/>
          <w:iCs/>
          <w:lang w:val="es-ES_tradnl"/>
        </w:rPr>
        <w:t>Ley Orgánica del Banco Central de Costa Rica</w:t>
      </w:r>
      <w:r w:rsidRPr="0072025F">
        <w:rPr>
          <w:rFonts w:ascii="Franklin Gothic Book" w:hAnsi="Franklin Gothic Book"/>
          <w:lang w:val="es-ES_tradnl"/>
        </w:rPr>
        <w:t xml:space="preserve"> establece que el porcentaje de reserva de liquidez debe ser igual al determinado para el encaje mínimo legal y que esta Junta Directiva definirá las condiciones en que debe aplicarse la reserva de liquidez.</w:t>
      </w:r>
    </w:p>
    <w:p w:rsidR="0072025F" w:rsidRDefault="0072025F" w:rsidP="0072025F">
      <w:pPr>
        <w:jc w:val="both"/>
        <w:rPr>
          <w:rFonts w:ascii="Franklin Gothic Book" w:hAnsi="Franklin Gothic Book"/>
          <w:b/>
          <w:bCs/>
          <w:lang w:val="es-ES_tradnl"/>
        </w:rPr>
      </w:pPr>
    </w:p>
    <w:p w:rsidR="0072025F" w:rsidRPr="0072025F" w:rsidRDefault="0072025F" w:rsidP="0072025F">
      <w:pPr>
        <w:jc w:val="both"/>
        <w:rPr>
          <w:rFonts w:ascii="Franklin Gothic Book" w:hAnsi="Franklin Gothic Book"/>
        </w:rPr>
      </w:pPr>
      <w:proofErr w:type="gramStart"/>
      <w:r w:rsidRPr="0072025F">
        <w:rPr>
          <w:rFonts w:ascii="Franklin Gothic Book" w:hAnsi="Franklin Gothic Book"/>
          <w:b/>
          <w:bCs/>
          <w:lang w:val="es-ES_tradnl"/>
        </w:rPr>
        <w:lastRenderedPageBreak/>
        <w:t>dispuso</w:t>
      </w:r>
      <w:proofErr w:type="gramEnd"/>
      <w:r w:rsidRPr="0072025F">
        <w:rPr>
          <w:rFonts w:ascii="Franklin Gothic Book" w:hAnsi="Franklin Gothic Book"/>
          <w:b/>
          <w:bCs/>
          <w:lang w:val="es-ES_tradnl"/>
        </w:rPr>
        <w:t xml:space="preserve"> en firme:</w:t>
      </w:r>
    </w:p>
    <w:p w:rsidR="0072025F" w:rsidRPr="0072025F" w:rsidRDefault="0072025F" w:rsidP="0072025F">
      <w:pPr>
        <w:jc w:val="both"/>
        <w:rPr>
          <w:rFonts w:ascii="Franklin Gothic Book" w:hAnsi="Franklin Gothic Book"/>
        </w:rPr>
      </w:pPr>
      <w:r w:rsidRPr="0072025F">
        <w:rPr>
          <w:rFonts w:ascii="Franklin Gothic Book" w:hAnsi="Franklin Gothic Book"/>
          <w:lang w:val="es-ES_tradnl"/>
        </w:rPr>
        <w:t>1.</w:t>
      </w:r>
      <w:r w:rsidRPr="0072025F">
        <w:rPr>
          <w:rFonts w:ascii="Franklin Gothic Book" w:hAnsi="Franklin Gothic Book"/>
          <w:lang w:val="es-ES_tradnl"/>
        </w:rPr>
        <w:tab/>
        <w:t>Modificar el Título III, Capítulo I, Literal B, numeral 4 de las Regulaciones de Política Monetaria, para que en adelante se lea de la siguiente forma:</w:t>
      </w:r>
    </w:p>
    <w:p w:rsidR="0072025F" w:rsidRPr="0072025F" w:rsidRDefault="0072025F" w:rsidP="0072025F">
      <w:pPr>
        <w:jc w:val="both"/>
        <w:rPr>
          <w:rFonts w:ascii="Franklin Gothic Book" w:hAnsi="Franklin Gothic Book"/>
        </w:rPr>
      </w:pPr>
      <w:r w:rsidRPr="0072025F">
        <w:rPr>
          <w:rFonts w:ascii="Franklin Gothic Book" w:hAnsi="Franklin Gothic Book"/>
          <w:i/>
          <w:iCs/>
          <w:lang w:val="es-ES_tradnl"/>
        </w:rPr>
        <w:t>(. . .)</w:t>
      </w:r>
    </w:p>
    <w:p w:rsidR="0072025F" w:rsidRPr="0072025F" w:rsidRDefault="0072025F" w:rsidP="0072025F">
      <w:pPr>
        <w:jc w:val="both"/>
        <w:rPr>
          <w:rFonts w:ascii="Franklin Gothic Book" w:hAnsi="Franklin Gothic Book"/>
        </w:rPr>
      </w:pPr>
      <w:r w:rsidRPr="0072025F">
        <w:rPr>
          <w:rFonts w:ascii="Franklin Gothic Book" w:hAnsi="Franklin Gothic Book"/>
          <w:lang w:val="es-ES_tradnl"/>
        </w:rPr>
        <w:t>4.-</w:t>
      </w:r>
      <w:r w:rsidRPr="0072025F">
        <w:rPr>
          <w:rFonts w:ascii="Franklin Gothic Book" w:hAnsi="Franklin Gothic Book"/>
          <w:lang w:val="es-ES_tradnl"/>
        </w:rPr>
        <w:tab/>
        <w:t xml:space="preserve">Las operaciones de endeudamiento externo, sea en moneda nacional o en moneda extranjera. </w:t>
      </w:r>
    </w:p>
    <w:p w:rsidR="0072025F" w:rsidRPr="0072025F" w:rsidRDefault="0072025F" w:rsidP="0072025F">
      <w:pPr>
        <w:jc w:val="both"/>
        <w:rPr>
          <w:rFonts w:ascii="Franklin Gothic Book" w:hAnsi="Franklin Gothic Book"/>
        </w:rPr>
      </w:pPr>
      <w:r w:rsidRPr="0072025F">
        <w:rPr>
          <w:rFonts w:ascii="Franklin Gothic Book" w:hAnsi="Franklin Gothic Book"/>
          <w:lang w:val="es-ES_tradnl"/>
        </w:rPr>
        <w:t>2.</w:t>
      </w:r>
      <w:r w:rsidRPr="0072025F">
        <w:rPr>
          <w:rFonts w:ascii="Franklin Gothic Book" w:hAnsi="Franklin Gothic Book"/>
          <w:lang w:val="es-ES_tradnl"/>
        </w:rPr>
        <w:tab/>
        <w:t>Agregar al Título III, Capítulo I, Literal B de las Regulaciones de Política Monetaria, un numeral 5 y un transitorio, que se lean de la siguiente forma:</w:t>
      </w:r>
    </w:p>
    <w:p w:rsidR="0072025F" w:rsidRPr="0072025F" w:rsidRDefault="0072025F" w:rsidP="0072025F">
      <w:pPr>
        <w:jc w:val="both"/>
        <w:rPr>
          <w:rFonts w:ascii="Franklin Gothic Book" w:hAnsi="Franklin Gothic Book"/>
        </w:rPr>
      </w:pPr>
      <w:r w:rsidRPr="0072025F">
        <w:rPr>
          <w:rFonts w:ascii="Franklin Gothic Book" w:hAnsi="Franklin Gothic Book"/>
          <w:i/>
          <w:iCs/>
          <w:lang w:val="es-ES_tradnl"/>
        </w:rPr>
        <w:t>( . . .)</w:t>
      </w:r>
    </w:p>
    <w:p w:rsidR="0072025F" w:rsidRPr="0072025F" w:rsidRDefault="0072025F" w:rsidP="0072025F">
      <w:pPr>
        <w:jc w:val="both"/>
        <w:rPr>
          <w:rFonts w:ascii="Franklin Gothic Book" w:hAnsi="Franklin Gothic Book"/>
        </w:rPr>
      </w:pPr>
      <w:r w:rsidRPr="0072025F">
        <w:rPr>
          <w:rFonts w:ascii="Franklin Gothic Book" w:hAnsi="Franklin Gothic Book"/>
          <w:lang w:val="es-ES_tradnl"/>
        </w:rPr>
        <w:t>5.-</w:t>
      </w:r>
      <w:r w:rsidRPr="0072025F">
        <w:rPr>
          <w:rFonts w:ascii="Franklin Gothic Book" w:hAnsi="Franklin Gothic Book"/>
          <w:lang w:val="es-ES_tradnl"/>
        </w:rPr>
        <w:tab/>
        <w:t>Cualquier otra operación cuya realidad económica sea semejante a las operaciones indicadas en los numerales anteriores.</w:t>
      </w:r>
    </w:p>
    <w:p w:rsidR="0072025F" w:rsidRPr="0072025F" w:rsidRDefault="0072025F" w:rsidP="0072025F">
      <w:pPr>
        <w:jc w:val="both"/>
        <w:rPr>
          <w:rFonts w:ascii="Franklin Gothic Book" w:hAnsi="Franklin Gothic Book"/>
        </w:rPr>
      </w:pPr>
      <w:r w:rsidRPr="0072025F">
        <w:rPr>
          <w:rFonts w:ascii="Franklin Gothic Book" w:hAnsi="Franklin Gothic Book"/>
          <w:lang w:val="es-ES_tradnl"/>
        </w:rPr>
        <w:t>En este caso, si la Superintendencia General de Entidades Financieras o el Banco Central de Costa Rica determinaran que una figura financiera cumple con las características indicadas y debe ser sujeta a control monetario, informarán al medio financiero. Los intermediarios sujetos a este requerimiento tendrán, a partir de la fecha de notificación, dos quincenas naturales para incorporar dicha figura en el cálculo de los pasivos sujetos a encaje legal.</w:t>
      </w:r>
    </w:p>
    <w:p w:rsidR="0072025F" w:rsidRPr="0072025F" w:rsidRDefault="0072025F" w:rsidP="0072025F">
      <w:pPr>
        <w:jc w:val="both"/>
        <w:rPr>
          <w:rFonts w:ascii="Franklin Gothic Book" w:hAnsi="Franklin Gothic Book"/>
          <w:b/>
        </w:rPr>
      </w:pPr>
      <w:r w:rsidRPr="0072025F">
        <w:rPr>
          <w:rFonts w:ascii="Franklin Gothic Book" w:hAnsi="Franklin Gothic Book"/>
          <w:b/>
          <w:lang w:val="es-ES_tradnl"/>
        </w:rPr>
        <w:t>Transitorio:</w:t>
      </w:r>
    </w:p>
    <w:p w:rsidR="0072025F" w:rsidRPr="0072025F" w:rsidRDefault="0072025F" w:rsidP="0072025F">
      <w:pPr>
        <w:jc w:val="both"/>
        <w:rPr>
          <w:rFonts w:ascii="Franklin Gothic Book" w:hAnsi="Franklin Gothic Book"/>
        </w:rPr>
      </w:pPr>
      <w:r w:rsidRPr="0072025F">
        <w:rPr>
          <w:rFonts w:ascii="Franklin Gothic Book" w:hAnsi="Franklin Gothic Book"/>
          <w:lang w:val="es-ES_tradnl"/>
        </w:rPr>
        <w:t xml:space="preserve">El saldo de las operaciones de endeudamiento externo de mediano y largo plazo </w:t>
      </w:r>
      <w:proofErr w:type="gramStart"/>
      <w:r w:rsidRPr="0072025F">
        <w:rPr>
          <w:rFonts w:ascii="Franklin Gothic Book" w:hAnsi="Franklin Gothic Book"/>
          <w:lang w:val="es-ES_tradnl"/>
        </w:rPr>
        <w:t>contratadas y formalizadas mediante pagaré, confirmación de compromiso vía Swift o cualquier otro medio de formalización ocurrido antes del 1° de julio del 2015 y no sujetas</w:t>
      </w:r>
      <w:proofErr w:type="gramEnd"/>
      <w:r w:rsidRPr="0072025F">
        <w:rPr>
          <w:rFonts w:ascii="Franklin Gothic Book" w:hAnsi="Franklin Gothic Book"/>
          <w:lang w:val="es-ES_tradnl"/>
        </w:rPr>
        <w:t xml:space="preserve"> al encaje mínimo legal según la regulación vigente en el momento de su formalización, mantendrá esa condición hasta su vencimiento. </w:t>
      </w:r>
    </w:p>
    <w:p w:rsidR="0072025F" w:rsidRPr="0072025F" w:rsidRDefault="0072025F" w:rsidP="0072025F">
      <w:pPr>
        <w:jc w:val="both"/>
        <w:rPr>
          <w:rFonts w:ascii="Franklin Gothic Book" w:hAnsi="Franklin Gothic Book"/>
        </w:rPr>
      </w:pPr>
      <w:r w:rsidRPr="0072025F">
        <w:rPr>
          <w:rFonts w:ascii="Franklin Gothic Book" w:hAnsi="Franklin Gothic Book"/>
          <w:lang w:val="es-ES_tradnl"/>
        </w:rPr>
        <w:t>3.</w:t>
      </w:r>
      <w:r w:rsidRPr="0072025F">
        <w:rPr>
          <w:rFonts w:ascii="Franklin Gothic Book" w:hAnsi="Franklin Gothic Book"/>
          <w:lang w:val="es-ES_tradnl"/>
        </w:rPr>
        <w:tab/>
      </w:r>
      <w:r w:rsidRPr="0072025F">
        <w:rPr>
          <w:rFonts w:ascii="Franklin Gothic Book" w:hAnsi="Franklin Gothic Book"/>
          <w:b/>
          <w:bCs/>
          <w:lang w:val="es-ES_tradnl"/>
        </w:rPr>
        <w:t xml:space="preserve">Modificar el Título III, Capítulo I, Literal C de las </w:t>
      </w:r>
      <w:r w:rsidRPr="0072025F">
        <w:rPr>
          <w:rFonts w:ascii="Franklin Gothic Book" w:hAnsi="Franklin Gothic Book"/>
          <w:i/>
          <w:iCs/>
          <w:lang w:val="es-ES_tradnl"/>
        </w:rPr>
        <w:t>Regulaciones de Política Monetaria</w:t>
      </w:r>
      <w:r w:rsidRPr="0072025F">
        <w:rPr>
          <w:rFonts w:ascii="Franklin Gothic Book" w:hAnsi="Franklin Gothic Book"/>
          <w:b/>
          <w:bCs/>
          <w:lang w:val="es-ES_tradnl"/>
        </w:rPr>
        <w:t>, para que en adelante se lea de la siguiente forma</w:t>
      </w:r>
      <w:r w:rsidRPr="0072025F">
        <w:rPr>
          <w:rFonts w:ascii="Franklin Gothic Book" w:hAnsi="Franklin Gothic Book"/>
          <w:lang w:val="es-ES_tradnl"/>
        </w:rPr>
        <w:t>:</w:t>
      </w:r>
    </w:p>
    <w:p w:rsidR="0072025F" w:rsidRPr="0072025F" w:rsidRDefault="0072025F" w:rsidP="0072025F">
      <w:pPr>
        <w:jc w:val="both"/>
        <w:rPr>
          <w:rFonts w:ascii="Franklin Gothic Book" w:hAnsi="Franklin Gothic Book"/>
        </w:rPr>
      </w:pPr>
      <w:r w:rsidRPr="0072025F">
        <w:rPr>
          <w:rFonts w:ascii="Franklin Gothic Book" w:hAnsi="Franklin Gothic Book"/>
          <w:lang w:val="es-ES_tradnl"/>
        </w:rPr>
        <w:t>“(…) Las tasas de encaje mínimo legal que aplicarán sobre las operaciones indicadas en el literal anterior son las siguientes:</w:t>
      </w:r>
    </w:p>
    <w:p w:rsidR="0072025F" w:rsidRPr="0072025F" w:rsidRDefault="0072025F" w:rsidP="0072025F">
      <w:pPr>
        <w:jc w:val="both"/>
        <w:rPr>
          <w:rFonts w:ascii="Franklin Gothic Book" w:hAnsi="Franklin Gothic Book"/>
        </w:rPr>
      </w:pPr>
      <w:r w:rsidRPr="0072025F">
        <w:rPr>
          <w:rFonts w:ascii="Franklin Gothic Book" w:hAnsi="Franklin Gothic Book"/>
          <w:lang w:val="es-ES_tradnl"/>
        </w:rPr>
        <w:t>1.</w:t>
      </w:r>
      <w:r w:rsidRPr="0072025F">
        <w:rPr>
          <w:rFonts w:ascii="Franklin Gothic Book" w:hAnsi="Franklin Gothic Book"/>
          <w:lang w:val="es-ES_tradnl"/>
        </w:rPr>
        <w:tab/>
        <w:t>El 15,0% sobre la suma de los depósitos y obligaciones en moneda nacional y en unidades de desarrollo, así como sobre la suma de las operaciones de captación de recursos en moneda nacional y en unidades de desarrollo realizadas mediante fideicomisos o contratos de administración.</w:t>
      </w:r>
    </w:p>
    <w:p w:rsidR="0072025F" w:rsidRPr="0072025F" w:rsidRDefault="0072025F" w:rsidP="0072025F">
      <w:pPr>
        <w:jc w:val="both"/>
        <w:rPr>
          <w:rFonts w:ascii="Franklin Gothic Book" w:hAnsi="Franklin Gothic Book"/>
        </w:rPr>
      </w:pPr>
      <w:r w:rsidRPr="0072025F">
        <w:rPr>
          <w:rFonts w:ascii="Franklin Gothic Book" w:hAnsi="Franklin Gothic Book"/>
          <w:lang w:val="es-ES_tradnl"/>
        </w:rPr>
        <w:t>2.</w:t>
      </w:r>
      <w:r w:rsidRPr="0072025F">
        <w:rPr>
          <w:rFonts w:ascii="Franklin Gothic Book" w:hAnsi="Franklin Gothic Book"/>
          <w:lang w:val="es-ES_tradnl"/>
        </w:rPr>
        <w:tab/>
        <w:t xml:space="preserve">El 15,0% sobre el total de los depósitos y obligaciones en moneda extranjera, así como de las operaciones de captación de recursos en moneda extranjera realizada mediante fideicomisos o contratos de administración. </w:t>
      </w:r>
    </w:p>
    <w:p w:rsidR="0072025F" w:rsidRPr="0072025F" w:rsidRDefault="0072025F" w:rsidP="0072025F">
      <w:pPr>
        <w:jc w:val="both"/>
        <w:rPr>
          <w:rFonts w:ascii="Franklin Gothic Book" w:hAnsi="Franklin Gothic Book"/>
        </w:rPr>
      </w:pPr>
      <w:r w:rsidRPr="0072025F">
        <w:rPr>
          <w:rFonts w:ascii="Franklin Gothic Book" w:hAnsi="Franklin Gothic Book"/>
          <w:lang w:val="es-ES_tradnl"/>
        </w:rPr>
        <w:t>3.</w:t>
      </w:r>
      <w:r w:rsidRPr="0072025F">
        <w:rPr>
          <w:rFonts w:ascii="Franklin Gothic Book" w:hAnsi="Franklin Gothic Book"/>
          <w:lang w:val="es-ES_tradnl"/>
        </w:rPr>
        <w:tab/>
        <w:t xml:space="preserve">El 15,0% sobre las operaciones de endeudamiento externo, sea en moneda nacional o en moneda extranjera. </w:t>
      </w:r>
    </w:p>
    <w:p w:rsidR="0072025F" w:rsidRPr="0072025F" w:rsidRDefault="0072025F" w:rsidP="0072025F">
      <w:pPr>
        <w:jc w:val="both"/>
        <w:rPr>
          <w:rFonts w:ascii="Franklin Gothic Book" w:hAnsi="Franklin Gothic Book"/>
          <w:b/>
        </w:rPr>
      </w:pPr>
      <w:r w:rsidRPr="0072025F">
        <w:rPr>
          <w:rFonts w:ascii="Franklin Gothic Book" w:hAnsi="Franklin Gothic Book"/>
          <w:b/>
          <w:lang w:val="es-ES_tradnl"/>
        </w:rPr>
        <w:lastRenderedPageBreak/>
        <w:t>Transitorio:</w:t>
      </w:r>
    </w:p>
    <w:p w:rsidR="0072025F" w:rsidRPr="0072025F" w:rsidRDefault="0072025F" w:rsidP="0072025F">
      <w:pPr>
        <w:jc w:val="both"/>
        <w:rPr>
          <w:rFonts w:ascii="Franklin Gothic Book" w:hAnsi="Franklin Gothic Book"/>
        </w:rPr>
      </w:pPr>
      <w:r w:rsidRPr="0072025F">
        <w:rPr>
          <w:rFonts w:ascii="Franklin Gothic Book" w:hAnsi="Franklin Gothic Book"/>
          <w:lang w:val="es-ES_tradnl"/>
        </w:rPr>
        <w:t>El saldo de las operaciones de endeudamiento externo de mediano y largo plazo formalizadas a partir del 1° de julio del 2015, mediante pagaré, confirmación de compromiso vía Swift o cualquier otro medio de formalización, estará sujeto al encaje mínimo legal, según la siguiente gradualidad:</w:t>
      </w:r>
    </w:p>
    <w:tbl>
      <w:tblPr>
        <w:tblW w:w="0" w:type="auto"/>
        <w:jc w:val="center"/>
        <w:tblLayout w:type="fixed"/>
        <w:tblCellMar>
          <w:left w:w="0" w:type="dxa"/>
          <w:right w:w="0" w:type="dxa"/>
        </w:tblCellMar>
        <w:tblLook w:val="04A0" w:firstRow="1" w:lastRow="0" w:firstColumn="1" w:lastColumn="0" w:noHBand="0" w:noVBand="1"/>
      </w:tblPr>
      <w:tblGrid>
        <w:gridCol w:w="3072"/>
        <w:gridCol w:w="2297"/>
      </w:tblGrid>
      <w:tr w:rsidR="0072025F" w:rsidRPr="0072025F" w:rsidTr="00727839">
        <w:trPr>
          <w:trHeight w:val="521"/>
          <w:jc w:val="center"/>
        </w:trPr>
        <w:tc>
          <w:tcPr>
            <w:tcW w:w="3072" w:type="dxa"/>
            <w:tcBorders>
              <w:top w:val="single" w:sz="8" w:space="0" w:color="000000"/>
              <w:left w:val="single" w:sz="4" w:space="0" w:color="000000"/>
              <w:bottom w:val="nil"/>
              <w:right w:val="single" w:sz="4" w:space="0" w:color="000000"/>
            </w:tcBorders>
            <w:tcMar>
              <w:top w:w="72" w:type="dxa"/>
              <w:left w:w="108" w:type="dxa"/>
              <w:bottom w:w="72" w:type="dxa"/>
              <w:right w:w="108" w:type="dxa"/>
            </w:tcMar>
            <w:hideMark/>
          </w:tcPr>
          <w:p w:rsidR="0072025F" w:rsidRPr="0072025F" w:rsidRDefault="0072025F" w:rsidP="0072025F">
            <w:pPr>
              <w:jc w:val="both"/>
              <w:rPr>
                <w:rFonts w:ascii="Franklin Gothic Book" w:hAnsi="Franklin Gothic Book"/>
              </w:rPr>
            </w:pPr>
            <w:r w:rsidRPr="0072025F">
              <w:rPr>
                <w:rFonts w:ascii="Franklin Gothic Book" w:hAnsi="Franklin Gothic Book"/>
                <w:b/>
                <w:bCs/>
                <w:i/>
                <w:iCs/>
                <w:lang w:val="es-ES_tradnl"/>
              </w:rPr>
              <w:t xml:space="preserve">A partir del: </w:t>
            </w:r>
          </w:p>
        </w:tc>
        <w:tc>
          <w:tcPr>
            <w:tcW w:w="2297" w:type="dxa"/>
            <w:tcBorders>
              <w:top w:val="single" w:sz="8" w:space="0" w:color="000000"/>
              <w:left w:val="single" w:sz="4" w:space="0" w:color="000000"/>
              <w:bottom w:val="nil"/>
              <w:right w:val="single" w:sz="4" w:space="0" w:color="000000"/>
            </w:tcBorders>
            <w:tcMar>
              <w:top w:w="0" w:type="dxa"/>
              <w:left w:w="108" w:type="dxa"/>
              <w:bottom w:w="0" w:type="dxa"/>
              <w:right w:w="108" w:type="dxa"/>
            </w:tcMar>
            <w:hideMark/>
          </w:tcPr>
          <w:p w:rsidR="0072025F" w:rsidRPr="0072025F" w:rsidRDefault="0072025F" w:rsidP="0072025F">
            <w:pPr>
              <w:jc w:val="both"/>
              <w:rPr>
                <w:rFonts w:ascii="Franklin Gothic Book" w:hAnsi="Franklin Gothic Book"/>
              </w:rPr>
            </w:pPr>
            <w:r w:rsidRPr="0072025F">
              <w:rPr>
                <w:rFonts w:ascii="Franklin Gothic Book" w:hAnsi="Franklin Gothic Book"/>
                <w:b/>
                <w:bCs/>
                <w:i/>
                <w:iCs/>
                <w:lang w:val="es-ES_tradnl"/>
              </w:rPr>
              <w:t>Tasa de encaje legal</w:t>
            </w:r>
          </w:p>
        </w:tc>
      </w:tr>
      <w:tr w:rsidR="0072025F" w:rsidRPr="0072025F" w:rsidTr="00727839">
        <w:trPr>
          <w:trHeight w:val="456"/>
          <w:jc w:val="center"/>
        </w:trPr>
        <w:tc>
          <w:tcPr>
            <w:tcW w:w="3072" w:type="dxa"/>
            <w:tcBorders>
              <w:top w:val="nil"/>
              <w:left w:val="single" w:sz="4" w:space="0" w:color="000000"/>
              <w:bottom w:val="single" w:sz="4" w:space="0" w:color="000000"/>
              <w:right w:val="single" w:sz="4" w:space="0" w:color="000000"/>
            </w:tcBorders>
            <w:tcMar>
              <w:top w:w="72" w:type="dxa"/>
              <w:left w:w="108" w:type="dxa"/>
              <w:bottom w:w="72" w:type="dxa"/>
              <w:right w:w="108" w:type="dxa"/>
            </w:tcMar>
            <w:hideMark/>
          </w:tcPr>
          <w:p w:rsidR="0072025F" w:rsidRPr="0072025F" w:rsidRDefault="0072025F" w:rsidP="0072025F">
            <w:pPr>
              <w:jc w:val="both"/>
              <w:rPr>
                <w:rFonts w:ascii="Franklin Gothic Book" w:hAnsi="Franklin Gothic Book"/>
              </w:rPr>
            </w:pPr>
            <w:r w:rsidRPr="0072025F">
              <w:rPr>
                <w:rFonts w:ascii="Franklin Gothic Book" w:hAnsi="Franklin Gothic Book"/>
                <w:i/>
                <w:iCs/>
                <w:lang w:val="es-ES_tradnl"/>
              </w:rPr>
              <w:t>1° de julio del 2015</w:t>
            </w:r>
          </w:p>
        </w:tc>
        <w:tc>
          <w:tcPr>
            <w:tcW w:w="2297"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72025F" w:rsidRPr="0072025F" w:rsidRDefault="0072025F" w:rsidP="0072025F">
            <w:pPr>
              <w:jc w:val="both"/>
              <w:rPr>
                <w:rFonts w:ascii="Franklin Gothic Book" w:hAnsi="Franklin Gothic Book"/>
              </w:rPr>
            </w:pPr>
            <w:r w:rsidRPr="0072025F">
              <w:rPr>
                <w:rFonts w:ascii="Franklin Gothic Book" w:hAnsi="Franklin Gothic Book"/>
                <w:i/>
                <w:iCs/>
                <w:lang w:val="es-ES_tradnl"/>
              </w:rPr>
              <w:t>5%</w:t>
            </w:r>
          </w:p>
        </w:tc>
      </w:tr>
      <w:tr w:rsidR="0072025F" w:rsidRPr="0072025F" w:rsidTr="00727839">
        <w:trPr>
          <w:trHeight w:val="456"/>
          <w:jc w:val="center"/>
        </w:trPr>
        <w:tc>
          <w:tcPr>
            <w:tcW w:w="3072" w:type="dxa"/>
            <w:tcBorders>
              <w:top w:val="single" w:sz="4" w:space="0" w:color="000000"/>
              <w:left w:val="single" w:sz="4" w:space="0" w:color="000000"/>
              <w:bottom w:val="single" w:sz="4" w:space="0" w:color="000000"/>
              <w:right w:val="single" w:sz="4" w:space="0" w:color="000000"/>
            </w:tcBorders>
            <w:tcMar>
              <w:top w:w="72" w:type="dxa"/>
              <w:left w:w="108" w:type="dxa"/>
              <w:bottom w:w="72" w:type="dxa"/>
              <w:right w:w="108" w:type="dxa"/>
            </w:tcMar>
            <w:hideMark/>
          </w:tcPr>
          <w:p w:rsidR="0072025F" w:rsidRPr="0072025F" w:rsidRDefault="0072025F" w:rsidP="0072025F">
            <w:pPr>
              <w:jc w:val="both"/>
              <w:rPr>
                <w:rFonts w:ascii="Franklin Gothic Book" w:hAnsi="Franklin Gothic Book"/>
              </w:rPr>
            </w:pPr>
            <w:r w:rsidRPr="0072025F">
              <w:rPr>
                <w:rFonts w:ascii="Franklin Gothic Book" w:hAnsi="Franklin Gothic Book"/>
                <w:i/>
                <w:iCs/>
                <w:lang w:val="es-ES_tradnl"/>
              </w:rPr>
              <w:t>1° de agosto del  2015</w:t>
            </w: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025F" w:rsidRPr="0072025F" w:rsidRDefault="0072025F" w:rsidP="0072025F">
            <w:pPr>
              <w:jc w:val="both"/>
              <w:rPr>
                <w:rFonts w:ascii="Franklin Gothic Book" w:hAnsi="Franklin Gothic Book"/>
              </w:rPr>
            </w:pPr>
            <w:r w:rsidRPr="0072025F">
              <w:rPr>
                <w:rFonts w:ascii="Franklin Gothic Book" w:hAnsi="Franklin Gothic Book"/>
                <w:i/>
                <w:iCs/>
                <w:lang w:val="es-ES_tradnl"/>
              </w:rPr>
              <w:t>10%</w:t>
            </w:r>
          </w:p>
        </w:tc>
      </w:tr>
      <w:tr w:rsidR="0072025F" w:rsidRPr="0072025F" w:rsidTr="00727839">
        <w:trPr>
          <w:trHeight w:val="456"/>
          <w:jc w:val="center"/>
        </w:trPr>
        <w:tc>
          <w:tcPr>
            <w:tcW w:w="3072" w:type="dxa"/>
            <w:tcBorders>
              <w:top w:val="single" w:sz="4" w:space="0" w:color="000000"/>
              <w:left w:val="single" w:sz="4" w:space="0" w:color="000000"/>
              <w:bottom w:val="single" w:sz="4" w:space="0" w:color="000000"/>
              <w:right w:val="single" w:sz="4" w:space="0" w:color="000000"/>
            </w:tcBorders>
            <w:tcMar>
              <w:top w:w="72" w:type="dxa"/>
              <w:left w:w="108" w:type="dxa"/>
              <w:bottom w:w="72" w:type="dxa"/>
              <w:right w:w="108" w:type="dxa"/>
            </w:tcMar>
            <w:hideMark/>
          </w:tcPr>
          <w:p w:rsidR="0072025F" w:rsidRPr="0072025F" w:rsidRDefault="0072025F" w:rsidP="0072025F">
            <w:pPr>
              <w:jc w:val="both"/>
              <w:rPr>
                <w:rFonts w:ascii="Franklin Gothic Book" w:hAnsi="Franklin Gothic Book"/>
              </w:rPr>
            </w:pPr>
            <w:r w:rsidRPr="0072025F">
              <w:rPr>
                <w:rFonts w:ascii="Franklin Gothic Book" w:hAnsi="Franklin Gothic Book"/>
                <w:i/>
                <w:iCs/>
                <w:lang w:val="es-ES_tradnl"/>
              </w:rPr>
              <w:t>1° de setiembre del 2015</w:t>
            </w: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025F" w:rsidRPr="0072025F" w:rsidRDefault="0072025F" w:rsidP="0072025F">
            <w:pPr>
              <w:jc w:val="both"/>
              <w:rPr>
                <w:rFonts w:ascii="Franklin Gothic Book" w:hAnsi="Franklin Gothic Book"/>
              </w:rPr>
            </w:pPr>
            <w:r w:rsidRPr="0072025F">
              <w:rPr>
                <w:rFonts w:ascii="Franklin Gothic Book" w:hAnsi="Franklin Gothic Book"/>
                <w:i/>
                <w:iCs/>
                <w:lang w:val="es-ES_tradnl"/>
              </w:rPr>
              <w:t>15%</w:t>
            </w:r>
          </w:p>
        </w:tc>
      </w:tr>
    </w:tbl>
    <w:p w:rsidR="0072025F" w:rsidRPr="0072025F" w:rsidRDefault="0072025F" w:rsidP="0072025F">
      <w:pPr>
        <w:jc w:val="both"/>
        <w:rPr>
          <w:rFonts w:ascii="Franklin Gothic Book" w:hAnsi="Franklin Gothic Book"/>
        </w:rPr>
      </w:pPr>
      <w:r w:rsidRPr="0072025F">
        <w:rPr>
          <w:rFonts w:ascii="Franklin Gothic Book" w:hAnsi="Franklin Gothic Book"/>
          <w:lang w:val="es-ES_tradnl"/>
        </w:rPr>
        <w:t> </w:t>
      </w:r>
    </w:p>
    <w:p w:rsidR="0072025F" w:rsidRPr="0072025F" w:rsidRDefault="0072025F" w:rsidP="0072025F">
      <w:pPr>
        <w:jc w:val="both"/>
        <w:rPr>
          <w:rFonts w:ascii="Franklin Gothic Book" w:hAnsi="Franklin Gothic Book"/>
        </w:rPr>
      </w:pPr>
      <w:r w:rsidRPr="0072025F">
        <w:rPr>
          <w:rFonts w:ascii="Franklin Gothic Book" w:hAnsi="Franklin Gothic Book"/>
          <w:lang w:val="es-ES_tradnl"/>
        </w:rPr>
        <w:t>4.</w:t>
      </w:r>
      <w:r w:rsidRPr="0072025F">
        <w:rPr>
          <w:rFonts w:ascii="Franklin Gothic Book" w:hAnsi="Franklin Gothic Book"/>
          <w:lang w:val="es-ES_tradnl"/>
        </w:rPr>
        <w:tab/>
      </w:r>
      <w:r w:rsidRPr="0072025F">
        <w:rPr>
          <w:rFonts w:ascii="Franklin Gothic Book" w:hAnsi="Franklin Gothic Book"/>
          <w:b/>
          <w:bCs/>
          <w:lang w:val="es-ES_tradnl"/>
        </w:rPr>
        <w:t>Modificar</w:t>
      </w:r>
      <w:r w:rsidRPr="0072025F">
        <w:rPr>
          <w:rFonts w:ascii="Franklin Gothic Book" w:hAnsi="Franklin Gothic Book"/>
          <w:lang w:val="es-ES_tradnl"/>
        </w:rPr>
        <w:t xml:space="preserve"> </w:t>
      </w:r>
      <w:r w:rsidRPr="0072025F">
        <w:rPr>
          <w:rFonts w:ascii="Franklin Gothic Book" w:hAnsi="Franklin Gothic Book"/>
          <w:b/>
          <w:bCs/>
          <w:lang w:val="es-ES_tradnl"/>
        </w:rPr>
        <w:t xml:space="preserve">el Título III, Capítulo I, Literal D, Numeral 1, de las </w:t>
      </w:r>
      <w:r w:rsidRPr="0072025F">
        <w:rPr>
          <w:rFonts w:ascii="Franklin Gothic Book" w:hAnsi="Franklin Gothic Book"/>
          <w:i/>
          <w:iCs/>
          <w:lang w:val="es-ES_tradnl"/>
        </w:rPr>
        <w:t>Regulaciones de Política Monetaria</w:t>
      </w:r>
      <w:r w:rsidRPr="0072025F">
        <w:rPr>
          <w:rFonts w:ascii="Franklin Gothic Book" w:hAnsi="Franklin Gothic Book"/>
          <w:b/>
          <w:bCs/>
          <w:lang w:val="es-ES_tradnl"/>
        </w:rPr>
        <w:t>, para que en adelante se lea de la siguiente forma</w:t>
      </w:r>
      <w:r w:rsidRPr="0072025F">
        <w:rPr>
          <w:rFonts w:ascii="Franklin Gothic Book" w:hAnsi="Franklin Gothic Book"/>
          <w:lang w:val="es-ES_tradnl"/>
        </w:rPr>
        <w:t>:</w:t>
      </w:r>
    </w:p>
    <w:p w:rsidR="0072025F" w:rsidRPr="0072025F" w:rsidRDefault="0072025F" w:rsidP="0072025F">
      <w:pPr>
        <w:jc w:val="both"/>
        <w:rPr>
          <w:rFonts w:ascii="Franklin Gothic Book" w:hAnsi="Franklin Gothic Book"/>
        </w:rPr>
      </w:pPr>
      <w:r w:rsidRPr="0072025F">
        <w:rPr>
          <w:rFonts w:ascii="Franklin Gothic Book" w:hAnsi="Franklin Gothic Book"/>
          <w:i/>
          <w:iCs/>
          <w:lang w:val="es-ES_tradnl"/>
        </w:rPr>
        <w:t xml:space="preserve">“1. Se exceptúan del requerimiento de encaje mínimo legal las operaciones cuyo origen esté relacionado con: </w:t>
      </w:r>
    </w:p>
    <w:p w:rsidR="0072025F" w:rsidRPr="0072025F" w:rsidRDefault="0072025F" w:rsidP="0072025F">
      <w:pPr>
        <w:jc w:val="both"/>
        <w:rPr>
          <w:rFonts w:ascii="Franklin Gothic Book" w:hAnsi="Franklin Gothic Book"/>
        </w:rPr>
      </w:pPr>
      <w:r w:rsidRPr="0072025F">
        <w:rPr>
          <w:rFonts w:ascii="Franklin Gothic Book" w:hAnsi="Franklin Gothic Book"/>
          <w:i/>
          <w:iCs/>
          <w:lang w:val="es-ES_tradnl"/>
        </w:rPr>
        <w:t>a.</w:t>
      </w:r>
      <w:r w:rsidRPr="0072025F">
        <w:rPr>
          <w:rFonts w:ascii="Franklin Gothic Book" w:hAnsi="Franklin Gothic Book"/>
          <w:i/>
          <w:iCs/>
          <w:lang w:val="es-ES_tradnl"/>
        </w:rPr>
        <w:tab/>
        <w:t>Los préstamos otorgados por el Banco Central de Costa Rica.</w:t>
      </w:r>
    </w:p>
    <w:p w:rsidR="0072025F" w:rsidRPr="0072025F" w:rsidRDefault="0072025F" w:rsidP="0072025F">
      <w:pPr>
        <w:jc w:val="both"/>
        <w:rPr>
          <w:rFonts w:ascii="Franklin Gothic Book" w:hAnsi="Franklin Gothic Book"/>
        </w:rPr>
      </w:pPr>
      <w:r w:rsidRPr="0072025F">
        <w:rPr>
          <w:rFonts w:ascii="Franklin Gothic Book" w:hAnsi="Franklin Gothic Book"/>
          <w:i/>
          <w:iCs/>
          <w:lang w:val="es-ES_tradnl"/>
        </w:rPr>
        <w:t>b.</w:t>
      </w:r>
      <w:r w:rsidRPr="0072025F">
        <w:rPr>
          <w:rFonts w:ascii="Franklin Gothic Book" w:hAnsi="Franklin Gothic Book"/>
          <w:i/>
          <w:iCs/>
          <w:lang w:val="es-ES_tradnl"/>
        </w:rPr>
        <w:tab/>
        <w:t>Los recursos recibidos por la banca estatal de entidades financieras privadas en cumplimiento de las condiciones establecidas, para estas últimas, para tener acceso al redescuento o poder captar depósitos en cuenta corriente, según lo estipulado en los artículos 52 de la Ley Orgánica del Banco Central de Costa Rica y 59 de la Ley Orgánica del Sistema Bancario Nacional.</w:t>
      </w:r>
    </w:p>
    <w:p w:rsidR="0072025F" w:rsidRPr="0072025F" w:rsidRDefault="0072025F" w:rsidP="0072025F">
      <w:pPr>
        <w:jc w:val="both"/>
        <w:rPr>
          <w:rFonts w:ascii="Franklin Gothic Book" w:hAnsi="Franklin Gothic Book"/>
        </w:rPr>
      </w:pPr>
      <w:r w:rsidRPr="0072025F">
        <w:rPr>
          <w:rFonts w:ascii="Franklin Gothic Book" w:hAnsi="Franklin Gothic Book"/>
          <w:i/>
          <w:iCs/>
          <w:lang w:val="es-ES_tradnl"/>
        </w:rPr>
        <w:t>c.</w:t>
      </w:r>
      <w:r w:rsidRPr="0072025F">
        <w:rPr>
          <w:rFonts w:ascii="Franklin Gothic Book" w:hAnsi="Franklin Gothic Book"/>
          <w:i/>
          <w:iCs/>
          <w:lang w:val="es-ES_tradnl"/>
        </w:rPr>
        <w:tab/>
        <w:t>Los depósitos y captaciones con un plazo de vencimiento superior a ocho años, en el tanto los recursos se destinen a crédito de vivienda según lo dispuesto en el artículo 62 bis de la Ley Orgánica del Banco Central de Costa Rica. Para ello:</w:t>
      </w:r>
    </w:p>
    <w:p w:rsidR="0072025F" w:rsidRPr="0072025F" w:rsidRDefault="0072025F" w:rsidP="0072025F">
      <w:pPr>
        <w:jc w:val="both"/>
        <w:rPr>
          <w:rFonts w:ascii="Franklin Gothic Book" w:hAnsi="Franklin Gothic Book"/>
        </w:rPr>
      </w:pPr>
      <w:r w:rsidRPr="0072025F">
        <w:rPr>
          <w:rFonts w:ascii="Franklin Gothic Book" w:hAnsi="Franklin Gothic Book"/>
          <w:i/>
          <w:iCs/>
          <w:lang w:val="es-ES_tradnl"/>
        </w:rPr>
        <w:t>i.</w:t>
      </w:r>
      <w:r w:rsidRPr="0072025F">
        <w:rPr>
          <w:rFonts w:ascii="Franklin Gothic Book" w:hAnsi="Franklin Gothic Book"/>
          <w:i/>
          <w:iCs/>
          <w:lang w:val="es-ES_tradnl"/>
        </w:rPr>
        <w:tab/>
        <w:t>La entidad comunicará a la Gerencia del Banco Central y a la Superintendencia General de Entidades Financieras (SUGEF), con al menos dos semanas de antelación, la decisión de captar al amparo de lo dispuesto en el artículo 62 bis.</w:t>
      </w:r>
    </w:p>
    <w:p w:rsidR="0072025F" w:rsidRDefault="0072025F" w:rsidP="0072025F">
      <w:pPr>
        <w:jc w:val="both"/>
        <w:rPr>
          <w:rFonts w:ascii="Franklin Gothic Book" w:hAnsi="Franklin Gothic Book"/>
          <w:i/>
          <w:iCs/>
          <w:lang w:val="es-ES_tradnl"/>
        </w:rPr>
      </w:pPr>
      <w:r w:rsidRPr="0072025F">
        <w:rPr>
          <w:rFonts w:ascii="Franklin Gothic Book" w:hAnsi="Franklin Gothic Book"/>
          <w:i/>
          <w:iCs/>
          <w:lang w:val="es-ES_tradnl"/>
        </w:rPr>
        <w:t>ii.</w:t>
      </w:r>
      <w:r w:rsidRPr="0072025F">
        <w:rPr>
          <w:rFonts w:ascii="Franklin Gothic Book" w:hAnsi="Franklin Gothic Book"/>
          <w:i/>
          <w:iCs/>
          <w:lang w:val="es-ES_tradnl"/>
        </w:rPr>
        <w:tab/>
        <w:t>Recibida la comunicación, el Banco Central abrirá una “cuenta especial” donde la entidad financiera mantendrá el saldo captado bajo esta modalidad y no colocado. Esta cuenta es diferente de la cuenta de reserva*/ y será abierta en la moneda de constitución de la captación que le dio origen.</w:t>
      </w:r>
    </w:p>
    <w:p w:rsidR="0072025F" w:rsidRPr="0072025F" w:rsidRDefault="0072025F" w:rsidP="0072025F">
      <w:pPr>
        <w:jc w:val="both"/>
        <w:rPr>
          <w:rFonts w:ascii="Franklin Gothic Book" w:hAnsi="Franklin Gothic Book"/>
        </w:rPr>
      </w:pPr>
    </w:p>
    <w:p w:rsidR="0072025F" w:rsidRPr="0072025F" w:rsidRDefault="0072025F" w:rsidP="0072025F">
      <w:pPr>
        <w:jc w:val="both"/>
        <w:rPr>
          <w:rFonts w:ascii="Franklin Gothic Book" w:hAnsi="Franklin Gothic Book"/>
        </w:rPr>
      </w:pPr>
      <w:r w:rsidRPr="0072025F">
        <w:rPr>
          <w:rFonts w:ascii="Franklin Gothic Book" w:hAnsi="Franklin Gothic Book"/>
          <w:i/>
          <w:iCs/>
          <w:lang w:val="es-ES_tradnl"/>
        </w:rPr>
        <w:lastRenderedPageBreak/>
        <w:t>iii.</w:t>
      </w:r>
      <w:r w:rsidRPr="0072025F">
        <w:rPr>
          <w:rFonts w:ascii="Franklin Gothic Book" w:hAnsi="Franklin Gothic Book"/>
          <w:i/>
          <w:iCs/>
          <w:lang w:val="es-ES_tradnl"/>
        </w:rPr>
        <w:tab/>
        <w:t>A partir de la información declarada por la entidad financiera a la SUGEF en las clases de datos ‘’Encaje Legal’ y ‘Crediticio’, esa superintendencia determinará y comunicará al Banco Central, el saldo diario que esa entidad debió mantener depositado en la ‘cuenta especial’. La comunicación la hará a más tardar veinte días naturales después del término de cada quincena natural.</w:t>
      </w:r>
    </w:p>
    <w:p w:rsidR="0072025F" w:rsidRPr="0072025F" w:rsidRDefault="0072025F" w:rsidP="0072025F">
      <w:pPr>
        <w:jc w:val="both"/>
        <w:rPr>
          <w:rFonts w:ascii="Franklin Gothic Book" w:hAnsi="Franklin Gothic Book"/>
        </w:rPr>
      </w:pPr>
      <w:r w:rsidRPr="0072025F">
        <w:rPr>
          <w:rFonts w:ascii="Franklin Gothic Book" w:hAnsi="Franklin Gothic Book"/>
          <w:i/>
          <w:iCs/>
          <w:lang w:val="es-ES_tradnl"/>
        </w:rPr>
        <w:t>iv.</w:t>
      </w:r>
      <w:r w:rsidRPr="0072025F">
        <w:rPr>
          <w:rFonts w:ascii="Franklin Gothic Book" w:hAnsi="Franklin Gothic Book"/>
          <w:i/>
          <w:iCs/>
          <w:lang w:val="es-ES_tradnl"/>
        </w:rPr>
        <w:tab/>
        <w:t xml:space="preserve">El Banco Central reconocerá intereses sobre el saldo indicado por SUGEF, aplicando, para operaciones en colones una tasa de interés igual a la Facilidad Permanente de Depósito a un día plazo en el Mercado Integrado de Liquidez y para operaciones denominadas en moneda extranjera una tasa equivalente a la que reconoce el Banco de la Reserva Federal de los Estados Unidos para los depósitos overnight (técnicamente denominada </w:t>
      </w:r>
      <w:proofErr w:type="spellStart"/>
      <w:r w:rsidRPr="0072025F">
        <w:rPr>
          <w:rFonts w:ascii="Franklin Gothic Book" w:hAnsi="Franklin Gothic Book"/>
          <w:i/>
          <w:iCs/>
          <w:lang w:val="es-ES_tradnl"/>
        </w:rPr>
        <w:t>Repurchase</w:t>
      </w:r>
      <w:proofErr w:type="spellEnd"/>
      <w:r w:rsidRPr="0072025F">
        <w:rPr>
          <w:rFonts w:ascii="Franklin Gothic Book" w:hAnsi="Franklin Gothic Book"/>
          <w:i/>
          <w:iCs/>
          <w:lang w:val="es-ES_tradnl"/>
        </w:rPr>
        <w:t xml:space="preserve"> </w:t>
      </w:r>
      <w:proofErr w:type="spellStart"/>
      <w:r w:rsidRPr="0072025F">
        <w:rPr>
          <w:rFonts w:ascii="Franklin Gothic Book" w:hAnsi="Franklin Gothic Book"/>
          <w:i/>
          <w:iCs/>
          <w:lang w:val="es-ES_tradnl"/>
        </w:rPr>
        <w:t>Agreement</w:t>
      </w:r>
      <w:proofErr w:type="spellEnd"/>
      <w:r w:rsidRPr="0072025F">
        <w:rPr>
          <w:rFonts w:ascii="Franklin Gothic Book" w:hAnsi="Franklin Gothic Book"/>
          <w:i/>
          <w:iCs/>
          <w:lang w:val="es-ES_tradnl"/>
        </w:rPr>
        <w:t xml:space="preserve"> Pool) menos quince puntos base con límite inferior de cero. Al respecto se acota lo siguiente: </w:t>
      </w:r>
    </w:p>
    <w:p w:rsidR="0072025F" w:rsidRPr="0072025F" w:rsidRDefault="0072025F" w:rsidP="0072025F">
      <w:pPr>
        <w:jc w:val="both"/>
        <w:rPr>
          <w:rFonts w:ascii="Franklin Gothic Book" w:hAnsi="Franklin Gothic Book"/>
        </w:rPr>
      </w:pPr>
      <w:r w:rsidRPr="0072025F">
        <w:rPr>
          <w:rFonts w:ascii="Franklin Gothic Book" w:hAnsi="Franklin Gothic Book"/>
          <w:i/>
          <w:iCs/>
          <w:lang w:val="es-ES_tradnl"/>
        </w:rPr>
        <w:t>▪</w:t>
      </w:r>
      <w:r w:rsidRPr="0072025F">
        <w:rPr>
          <w:rFonts w:ascii="Franklin Gothic Book" w:hAnsi="Franklin Gothic Book"/>
          <w:i/>
          <w:iCs/>
          <w:lang w:val="es-ES_tradnl"/>
        </w:rPr>
        <w:tab/>
        <w:t>Si el saldo efectivo en la ‘cuenta especial’ fuera menor que el indicado por la SUGEF, se reconocerán intereses sobre el saldo efectivo. Si el saldo efectivo fuera mayor al indicado por la SUGEF, se reconocerán intereses sobre esta última referencia.</w:t>
      </w:r>
    </w:p>
    <w:p w:rsidR="0072025F" w:rsidRPr="0072025F" w:rsidRDefault="0072025F" w:rsidP="0072025F">
      <w:pPr>
        <w:jc w:val="both"/>
        <w:rPr>
          <w:rFonts w:ascii="Franklin Gothic Book" w:hAnsi="Franklin Gothic Book"/>
        </w:rPr>
      </w:pPr>
      <w:r w:rsidRPr="0072025F">
        <w:rPr>
          <w:rFonts w:ascii="Franklin Gothic Book" w:hAnsi="Franklin Gothic Book"/>
          <w:i/>
          <w:iCs/>
          <w:lang w:val="es-ES_tradnl"/>
        </w:rPr>
        <w:t>▪</w:t>
      </w:r>
      <w:r w:rsidRPr="0072025F">
        <w:rPr>
          <w:rFonts w:ascii="Franklin Gothic Book" w:hAnsi="Franklin Gothic Book"/>
          <w:i/>
          <w:iCs/>
          <w:lang w:val="es-ES_tradnl"/>
        </w:rPr>
        <w:tab/>
        <w:t>Los intereses se acreditarán en la cuenta de reserva en la moneda correspondiente, por quincena natural, a más tardar dos quincenas naturales posterior a la quincena del cálculo.</w:t>
      </w:r>
    </w:p>
    <w:p w:rsidR="0072025F" w:rsidRPr="0072025F" w:rsidRDefault="0072025F" w:rsidP="0072025F">
      <w:pPr>
        <w:jc w:val="both"/>
        <w:rPr>
          <w:rFonts w:ascii="Franklin Gothic Book" w:hAnsi="Franklin Gothic Book"/>
        </w:rPr>
      </w:pPr>
      <w:r w:rsidRPr="0072025F">
        <w:rPr>
          <w:rFonts w:ascii="Franklin Gothic Book" w:hAnsi="Franklin Gothic Book"/>
          <w:i/>
          <w:iCs/>
          <w:lang w:val="es-ES_tradnl"/>
        </w:rPr>
        <w:t>▪</w:t>
      </w:r>
      <w:r w:rsidRPr="0072025F">
        <w:rPr>
          <w:rFonts w:ascii="Franklin Gothic Book" w:hAnsi="Franklin Gothic Book"/>
          <w:i/>
          <w:iCs/>
          <w:lang w:val="es-ES_tradnl"/>
        </w:rPr>
        <w:tab/>
        <w:t>Si la denominación de las operaciones en moneda extranjera es distinta del dólar estadounidense, procederá su conversión al dólar estadounidense al tipo de cambio publicado en el sitio del Banco Central.</w:t>
      </w:r>
    </w:p>
    <w:p w:rsidR="0072025F" w:rsidRPr="0072025F" w:rsidRDefault="0072025F" w:rsidP="0072025F">
      <w:pPr>
        <w:jc w:val="both"/>
        <w:rPr>
          <w:rFonts w:ascii="Franklin Gothic Book" w:hAnsi="Franklin Gothic Book"/>
        </w:rPr>
      </w:pPr>
      <w:r w:rsidRPr="0072025F">
        <w:rPr>
          <w:rFonts w:ascii="Franklin Gothic Book" w:hAnsi="Franklin Gothic Book"/>
          <w:i/>
          <w:iCs/>
          <w:lang w:val="es-ES_tradnl"/>
        </w:rPr>
        <w:t>v.</w:t>
      </w:r>
      <w:r w:rsidRPr="0072025F">
        <w:rPr>
          <w:rFonts w:ascii="Franklin Gothic Book" w:hAnsi="Franklin Gothic Book"/>
          <w:i/>
          <w:iCs/>
          <w:lang w:val="es-ES_tradnl"/>
        </w:rPr>
        <w:tab/>
        <w:t>Si la SUGEF determina que los fondos captados al amparo del artículo 62 bis podrían haber sido utilizados con fines y condiciones financieras distintos de los establecidos en esa norma, el Superintendente lo comunicará por escrito a la Gerencia del Banco Central y a la entidad financiera en consideración.</w:t>
      </w:r>
    </w:p>
    <w:p w:rsidR="0072025F" w:rsidRPr="0072025F" w:rsidRDefault="0072025F" w:rsidP="0072025F">
      <w:pPr>
        <w:jc w:val="both"/>
        <w:rPr>
          <w:rFonts w:ascii="Franklin Gothic Book" w:hAnsi="Franklin Gothic Book"/>
        </w:rPr>
      </w:pPr>
      <w:r w:rsidRPr="0072025F">
        <w:rPr>
          <w:rFonts w:ascii="Franklin Gothic Book" w:hAnsi="Franklin Gothic Book"/>
          <w:i/>
          <w:iCs/>
          <w:lang w:val="es-ES_tradnl"/>
        </w:rPr>
        <w:t>En tal caso, y luego de confirmada la infracción, el Banco Central debitará de la cuenta de reserva de la entidad en la moneda respectiva la cantidad resultante de aplicar diariamente al monto utilizado en forma no autorizada y por el periodo de incumplimiento, una tasa equivalente a la tasa de redescuento más cinco puntos porcentuales, según lo establecido en el artículo 63 bis de la Ley 7558.</w:t>
      </w:r>
    </w:p>
    <w:p w:rsidR="0072025F" w:rsidRPr="0072025F" w:rsidRDefault="0072025F" w:rsidP="0072025F">
      <w:pPr>
        <w:jc w:val="both"/>
        <w:rPr>
          <w:rFonts w:ascii="Franklin Gothic Book" w:hAnsi="Franklin Gothic Book"/>
        </w:rPr>
      </w:pPr>
      <w:r w:rsidRPr="0072025F">
        <w:rPr>
          <w:rFonts w:ascii="Franklin Gothic Book" w:hAnsi="Franklin Gothic Book"/>
          <w:i/>
          <w:iCs/>
          <w:lang w:val="es-ES_tradnl"/>
        </w:rPr>
        <w:t>Si el incumplimiento corresponde a operaciones en dólares estadounidenses, aplicará la tasa de interés indicada al saldo equivalente expresado en colones, conversión que se hará al tipo de cambio de referencia de compra del día (CR¢/EUA$); si la cuenta está denominada en otra moneda, procederá de previo su conversión al dólar estadounidense al tipo de cambio publicado en el sitio del Banco Central. Para efectos de aplicar el débito en las monedas correspondientes se utilizarán los tipos de cambio antes indicados.</w:t>
      </w:r>
    </w:p>
    <w:p w:rsidR="0072025F" w:rsidRPr="0072025F" w:rsidRDefault="0072025F" w:rsidP="0072025F">
      <w:pPr>
        <w:jc w:val="both"/>
        <w:rPr>
          <w:rFonts w:ascii="Franklin Gothic Book" w:hAnsi="Franklin Gothic Book"/>
        </w:rPr>
      </w:pPr>
      <w:r w:rsidRPr="0072025F">
        <w:rPr>
          <w:rFonts w:ascii="Franklin Gothic Book" w:hAnsi="Franklin Gothic Book"/>
          <w:i/>
          <w:iCs/>
          <w:lang w:val="es-ES_tradnl"/>
        </w:rPr>
        <w:t>Si el saldo de esa cuenta de reserva es inferior al monto por debitar, la entidad deberá, de inmediato, depositar el faltante para permitir la aplicación del débito correspondiente.</w:t>
      </w:r>
    </w:p>
    <w:p w:rsidR="0072025F" w:rsidRPr="0072025F" w:rsidRDefault="0072025F" w:rsidP="0072025F">
      <w:pPr>
        <w:jc w:val="both"/>
        <w:rPr>
          <w:rFonts w:ascii="Franklin Gothic Book" w:hAnsi="Franklin Gothic Book"/>
        </w:rPr>
      </w:pPr>
      <w:r w:rsidRPr="0072025F">
        <w:rPr>
          <w:rFonts w:ascii="Franklin Gothic Book" w:hAnsi="Franklin Gothic Book"/>
          <w:i/>
          <w:iCs/>
          <w:lang w:val="es-ES_tradnl"/>
        </w:rPr>
        <w:t>vi.</w:t>
      </w:r>
      <w:r w:rsidRPr="0072025F">
        <w:rPr>
          <w:rFonts w:ascii="Franklin Gothic Book" w:hAnsi="Franklin Gothic Book"/>
          <w:i/>
          <w:iCs/>
          <w:lang w:val="es-ES_tradnl"/>
        </w:rPr>
        <w:tab/>
        <w:t>La entidad financiera deberá enviar a la SUGEF la información que permita, a satisfacción de esa superintendencia, corroborar el cumplimiento de las condiciones establecidas en esta norma”.</w:t>
      </w:r>
    </w:p>
    <w:p w:rsidR="0072025F" w:rsidRPr="0072025F" w:rsidRDefault="0072025F" w:rsidP="0072025F">
      <w:pPr>
        <w:jc w:val="both"/>
        <w:rPr>
          <w:rFonts w:ascii="Franklin Gothic Book" w:hAnsi="Franklin Gothic Book"/>
        </w:rPr>
      </w:pPr>
      <w:r w:rsidRPr="0072025F">
        <w:rPr>
          <w:rFonts w:ascii="Franklin Gothic Book" w:hAnsi="Franklin Gothic Book"/>
          <w:lang w:val="es-ES_tradnl"/>
        </w:rPr>
        <w:lastRenderedPageBreak/>
        <w:t>5.</w:t>
      </w:r>
      <w:r w:rsidRPr="0072025F">
        <w:rPr>
          <w:rFonts w:ascii="Franklin Gothic Book" w:hAnsi="Franklin Gothic Book"/>
          <w:lang w:val="es-ES_tradnl"/>
        </w:rPr>
        <w:tab/>
      </w:r>
      <w:r w:rsidRPr="0072025F">
        <w:rPr>
          <w:rFonts w:ascii="Franklin Gothic Book" w:hAnsi="Franklin Gothic Book"/>
          <w:b/>
          <w:bCs/>
          <w:lang w:val="es-ES_tradnl"/>
        </w:rPr>
        <w:t xml:space="preserve">Modificar el Título VI, Literal A de las </w:t>
      </w:r>
      <w:r w:rsidRPr="0072025F">
        <w:rPr>
          <w:rFonts w:ascii="Franklin Gothic Book" w:hAnsi="Franklin Gothic Book"/>
          <w:b/>
          <w:bCs/>
          <w:i/>
          <w:iCs/>
          <w:lang w:val="es-ES_tradnl"/>
        </w:rPr>
        <w:t>Regulaciones de Política Monetaria</w:t>
      </w:r>
      <w:r w:rsidRPr="0072025F">
        <w:rPr>
          <w:rFonts w:ascii="Franklin Gothic Book" w:hAnsi="Franklin Gothic Book"/>
          <w:b/>
          <w:bCs/>
          <w:lang w:val="es-ES_tradnl"/>
        </w:rPr>
        <w:t xml:space="preserve"> en lo referente a las operaciones sobre las cuales debe constituirse la reserva de liquidez, para que en adelante se lea de la siguiente forma:</w:t>
      </w:r>
    </w:p>
    <w:p w:rsidR="0072025F" w:rsidRPr="0072025F" w:rsidRDefault="0072025F" w:rsidP="0072025F">
      <w:pPr>
        <w:jc w:val="both"/>
        <w:rPr>
          <w:rFonts w:ascii="Franklin Gothic Book" w:hAnsi="Franklin Gothic Book"/>
        </w:rPr>
      </w:pPr>
      <w:r w:rsidRPr="0072025F">
        <w:rPr>
          <w:rFonts w:ascii="Franklin Gothic Book" w:hAnsi="Franklin Gothic Book"/>
          <w:lang w:val="es-ES_tradnl"/>
        </w:rPr>
        <w:t>“Deberán mantener una reserva de liquidez las siguientes entidades:</w:t>
      </w:r>
    </w:p>
    <w:p w:rsidR="0072025F" w:rsidRPr="0072025F" w:rsidRDefault="0072025F" w:rsidP="0072025F">
      <w:pPr>
        <w:jc w:val="both"/>
        <w:rPr>
          <w:rFonts w:ascii="Franklin Gothic Book" w:hAnsi="Franklin Gothic Book"/>
        </w:rPr>
      </w:pPr>
      <w:r w:rsidRPr="0072025F">
        <w:rPr>
          <w:rFonts w:ascii="Franklin Gothic Book" w:hAnsi="Franklin Gothic Book"/>
          <w:i/>
          <w:iCs/>
          <w:lang w:val="es-ES_tradnl"/>
        </w:rPr>
        <w:t>( … )</w:t>
      </w:r>
    </w:p>
    <w:p w:rsidR="0072025F" w:rsidRPr="0072025F" w:rsidRDefault="0072025F" w:rsidP="0072025F">
      <w:pPr>
        <w:jc w:val="both"/>
        <w:rPr>
          <w:rFonts w:ascii="Franklin Gothic Book" w:hAnsi="Franklin Gothic Book"/>
        </w:rPr>
      </w:pPr>
      <w:r w:rsidRPr="0072025F">
        <w:rPr>
          <w:rFonts w:ascii="Franklin Gothic Book" w:hAnsi="Franklin Gothic Book"/>
          <w:lang w:val="es-ES_tradnl"/>
        </w:rPr>
        <w:t>La reserva de liquidez debe constituirse sobre la totalidad de:</w:t>
      </w:r>
    </w:p>
    <w:p w:rsidR="0072025F" w:rsidRPr="0072025F" w:rsidRDefault="0072025F" w:rsidP="0072025F">
      <w:pPr>
        <w:jc w:val="both"/>
        <w:rPr>
          <w:rFonts w:ascii="Franklin Gothic Book" w:hAnsi="Franklin Gothic Book"/>
        </w:rPr>
      </w:pPr>
      <w:r w:rsidRPr="0072025F">
        <w:rPr>
          <w:rFonts w:ascii="Franklin Gothic Book" w:hAnsi="Franklin Gothic Book"/>
          <w:lang w:val="es-ES_tradnl"/>
        </w:rPr>
        <w:t>i.</w:t>
      </w:r>
      <w:r w:rsidRPr="0072025F">
        <w:rPr>
          <w:rFonts w:ascii="Franklin Gothic Book" w:hAnsi="Franklin Gothic Book"/>
          <w:lang w:val="es-ES_tradnl"/>
        </w:rPr>
        <w:tab/>
        <w:t>Las captaciones de recursos.</w:t>
      </w:r>
    </w:p>
    <w:p w:rsidR="0072025F" w:rsidRPr="0072025F" w:rsidRDefault="0072025F" w:rsidP="0072025F">
      <w:pPr>
        <w:jc w:val="both"/>
        <w:rPr>
          <w:rFonts w:ascii="Franklin Gothic Book" w:hAnsi="Franklin Gothic Book"/>
        </w:rPr>
      </w:pPr>
      <w:r w:rsidRPr="0072025F">
        <w:rPr>
          <w:rFonts w:ascii="Franklin Gothic Book" w:hAnsi="Franklin Gothic Book"/>
          <w:lang w:val="es-ES_tradnl"/>
        </w:rPr>
        <w:t>ii.</w:t>
      </w:r>
      <w:r w:rsidRPr="0072025F">
        <w:rPr>
          <w:rFonts w:ascii="Franklin Gothic Book" w:hAnsi="Franklin Gothic Book"/>
          <w:lang w:val="es-ES_tradnl"/>
        </w:rPr>
        <w:tab/>
        <w:t>Los aportes de los trabajadores o asociados.</w:t>
      </w:r>
    </w:p>
    <w:p w:rsidR="0072025F" w:rsidRPr="0072025F" w:rsidRDefault="0072025F" w:rsidP="0072025F">
      <w:pPr>
        <w:jc w:val="both"/>
        <w:rPr>
          <w:rFonts w:ascii="Franklin Gothic Book" w:hAnsi="Franklin Gothic Book"/>
        </w:rPr>
      </w:pPr>
      <w:r w:rsidRPr="0072025F">
        <w:rPr>
          <w:rFonts w:ascii="Franklin Gothic Book" w:hAnsi="Franklin Gothic Book"/>
          <w:lang w:val="es-ES_tradnl"/>
        </w:rPr>
        <w:t>iii.</w:t>
      </w:r>
      <w:r w:rsidRPr="0072025F">
        <w:rPr>
          <w:rFonts w:ascii="Franklin Gothic Book" w:hAnsi="Franklin Gothic Book"/>
          <w:lang w:val="es-ES_tradnl"/>
        </w:rPr>
        <w:tab/>
        <w:t>Las operaciones de endeudamiento externo, sea en moneda nacional o en moneda extranjera.</w:t>
      </w:r>
    </w:p>
    <w:p w:rsidR="0072025F" w:rsidRPr="0072025F" w:rsidRDefault="0072025F" w:rsidP="0072025F">
      <w:pPr>
        <w:jc w:val="both"/>
        <w:rPr>
          <w:rFonts w:ascii="Franklin Gothic Book" w:hAnsi="Franklin Gothic Book"/>
        </w:rPr>
      </w:pPr>
      <w:r w:rsidRPr="0072025F">
        <w:rPr>
          <w:rFonts w:ascii="Franklin Gothic Book" w:hAnsi="Franklin Gothic Book"/>
          <w:lang w:val="es-ES_tradnl"/>
        </w:rPr>
        <w:t>iv.</w:t>
      </w:r>
      <w:r w:rsidRPr="0072025F">
        <w:rPr>
          <w:rFonts w:ascii="Franklin Gothic Book" w:hAnsi="Franklin Gothic Book"/>
          <w:lang w:val="es-ES_tradnl"/>
        </w:rPr>
        <w:tab/>
        <w:t>Cualquier otra operación cuya realidad económica sea semejante a las operaciones indicadas en los incisos anteriores.</w:t>
      </w:r>
    </w:p>
    <w:p w:rsidR="0072025F" w:rsidRPr="0072025F" w:rsidRDefault="0072025F" w:rsidP="0072025F">
      <w:pPr>
        <w:jc w:val="both"/>
        <w:rPr>
          <w:rFonts w:ascii="Franklin Gothic Book" w:hAnsi="Franklin Gothic Book"/>
        </w:rPr>
      </w:pPr>
      <w:r w:rsidRPr="0072025F">
        <w:rPr>
          <w:rFonts w:ascii="Franklin Gothic Book" w:hAnsi="Franklin Gothic Book"/>
          <w:lang w:val="es-ES_tradnl"/>
        </w:rPr>
        <w:t xml:space="preserve">En este caso, si la Superintendencia General de Entidades Financieras o el Banco Central de Costa Rica determinaran que una figura financiera cumple con las características señaladas y debe ser sujeta a la reserva de liquidez, informarán al medio financiero. Los intermediarios sujetos a este requerimiento tendrán, a partir de la fecha de notificación, dos quincenas naturales para incorporar dicha figura en el cálculo de las operaciones sujetas a reserva de liquidez. </w:t>
      </w:r>
    </w:p>
    <w:p w:rsidR="0072025F" w:rsidRPr="0072025F" w:rsidRDefault="0072025F" w:rsidP="0072025F">
      <w:pPr>
        <w:jc w:val="both"/>
        <w:rPr>
          <w:rFonts w:ascii="Franklin Gothic Book" w:hAnsi="Franklin Gothic Book"/>
        </w:rPr>
      </w:pPr>
      <w:r w:rsidRPr="0072025F">
        <w:rPr>
          <w:rFonts w:ascii="Franklin Gothic Book" w:hAnsi="Franklin Gothic Book"/>
          <w:lang w:val="es-ES_tradnl"/>
        </w:rPr>
        <w:t>Las entidades financieras deberán enviar a la Superintendencia General de Entidades Financieras la información que ésta requiera para corroborar que las operaciones de endeudamiento externo incluidas en el cálculo de la reserva de liquidez, cumple con los requisitos exigidos por esta normativa.</w:t>
      </w:r>
    </w:p>
    <w:p w:rsidR="0072025F" w:rsidRPr="0072025F" w:rsidRDefault="0072025F" w:rsidP="0072025F">
      <w:pPr>
        <w:jc w:val="both"/>
        <w:rPr>
          <w:rFonts w:ascii="Franklin Gothic Book" w:hAnsi="Franklin Gothic Book"/>
        </w:rPr>
      </w:pPr>
      <w:r w:rsidRPr="0072025F">
        <w:rPr>
          <w:rFonts w:ascii="Franklin Gothic Book" w:hAnsi="Franklin Gothic Book"/>
          <w:lang w:val="es-ES_tradnl"/>
        </w:rPr>
        <w:t xml:space="preserve">El porcentaje de reserva de liquidez que deberán mantener las entidades antes mencionadas es de 15,0%, para operaciones en moneda nacional como en moneda extranjera. </w:t>
      </w:r>
    </w:p>
    <w:p w:rsidR="0072025F" w:rsidRPr="0072025F" w:rsidRDefault="0072025F" w:rsidP="0072025F">
      <w:pPr>
        <w:jc w:val="both"/>
        <w:rPr>
          <w:rFonts w:ascii="Franklin Gothic Book" w:hAnsi="Franklin Gothic Book"/>
        </w:rPr>
      </w:pPr>
      <w:r w:rsidRPr="0072025F">
        <w:rPr>
          <w:rFonts w:ascii="Franklin Gothic Book" w:hAnsi="Franklin Gothic Book"/>
          <w:lang w:val="es-ES_tradnl"/>
        </w:rPr>
        <w:t>Transitorios:</w:t>
      </w:r>
    </w:p>
    <w:p w:rsidR="0072025F" w:rsidRDefault="0072025F" w:rsidP="0072025F">
      <w:pPr>
        <w:jc w:val="both"/>
        <w:rPr>
          <w:rFonts w:ascii="Franklin Gothic Book" w:hAnsi="Franklin Gothic Book"/>
          <w:lang w:val="es-ES_tradnl"/>
        </w:rPr>
      </w:pPr>
      <w:r w:rsidRPr="0072025F">
        <w:rPr>
          <w:rFonts w:ascii="Franklin Gothic Book" w:hAnsi="Franklin Gothic Book"/>
          <w:lang w:val="es-ES_tradnl"/>
        </w:rPr>
        <w:t>i.</w:t>
      </w:r>
      <w:r w:rsidRPr="0072025F">
        <w:rPr>
          <w:rFonts w:ascii="Franklin Gothic Book" w:hAnsi="Franklin Gothic Book"/>
          <w:lang w:val="es-ES_tradnl"/>
        </w:rPr>
        <w:tab/>
        <w:t xml:space="preserve">El saldo de las operaciones de endeudamiento externo de mediano y largo plazo contratadas y formalizadas mediante pagaré, confirmación de compromiso vía Swift o cualquier otro medio de formalización ocurrido antes del 1° de julio del 2015 y no sujetas a la reserva de liquidez según la regulación vigente en el momento de su formalización, mantendrá esa condición hasta su vencimiento. </w:t>
      </w:r>
    </w:p>
    <w:p w:rsidR="0072025F" w:rsidRPr="0072025F" w:rsidRDefault="0072025F" w:rsidP="0072025F">
      <w:pPr>
        <w:jc w:val="both"/>
        <w:rPr>
          <w:rFonts w:ascii="Franklin Gothic Book" w:hAnsi="Franklin Gothic Book"/>
          <w:lang w:val="es-ES_tradnl"/>
        </w:rPr>
      </w:pPr>
    </w:p>
    <w:p w:rsidR="0072025F" w:rsidRPr="0072025F" w:rsidRDefault="0072025F" w:rsidP="0072025F">
      <w:pPr>
        <w:jc w:val="both"/>
        <w:rPr>
          <w:rFonts w:ascii="Franklin Gothic Book" w:hAnsi="Franklin Gothic Book"/>
        </w:rPr>
      </w:pPr>
      <w:r w:rsidRPr="0072025F">
        <w:rPr>
          <w:rFonts w:ascii="Franklin Gothic Book" w:hAnsi="Franklin Gothic Book"/>
          <w:lang w:val="es-ES_tradnl"/>
        </w:rPr>
        <w:t>ii.</w:t>
      </w:r>
      <w:r w:rsidRPr="0072025F">
        <w:rPr>
          <w:rFonts w:ascii="Franklin Gothic Book" w:hAnsi="Franklin Gothic Book"/>
          <w:lang w:val="es-ES_tradnl"/>
        </w:rPr>
        <w:tab/>
        <w:t xml:space="preserve">El saldo de las operaciones de endeudamiento externo de mediano y largo plazo formalizadas a partir del 1° de julio del 2015, mediante pagaré, confirmación de compromiso vía Swift o cualquier otro medio de formalización, estará sujeto a la reserva de liquidez, según la siguiente gradualidad: </w:t>
      </w:r>
    </w:p>
    <w:tbl>
      <w:tblPr>
        <w:tblW w:w="0" w:type="auto"/>
        <w:jc w:val="center"/>
        <w:tblLayout w:type="fixed"/>
        <w:tblCellMar>
          <w:left w:w="0" w:type="dxa"/>
          <w:right w:w="0" w:type="dxa"/>
        </w:tblCellMar>
        <w:tblLook w:val="04A0" w:firstRow="1" w:lastRow="0" w:firstColumn="1" w:lastColumn="0" w:noHBand="0" w:noVBand="1"/>
      </w:tblPr>
      <w:tblGrid>
        <w:gridCol w:w="2666"/>
        <w:gridCol w:w="2660"/>
      </w:tblGrid>
      <w:tr w:rsidR="0072025F" w:rsidRPr="0072025F" w:rsidTr="0072025F">
        <w:trPr>
          <w:trHeight w:val="326"/>
          <w:jc w:val="center"/>
        </w:trPr>
        <w:tc>
          <w:tcPr>
            <w:tcW w:w="2666" w:type="dxa"/>
            <w:tcBorders>
              <w:top w:val="single" w:sz="8" w:space="0" w:color="000000"/>
              <w:left w:val="single" w:sz="4" w:space="0" w:color="000000"/>
              <w:bottom w:val="nil"/>
              <w:right w:val="single" w:sz="4" w:space="0" w:color="000000"/>
            </w:tcBorders>
            <w:tcMar>
              <w:top w:w="72" w:type="dxa"/>
              <w:left w:w="108" w:type="dxa"/>
              <w:bottom w:w="72" w:type="dxa"/>
              <w:right w:w="108" w:type="dxa"/>
            </w:tcMar>
            <w:hideMark/>
          </w:tcPr>
          <w:p w:rsidR="0072025F" w:rsidRPr="0072025F" w:rsidRDefault="0072025F" w:rsidP="0072025F">
            <w:pPr>
              <w:jc w:val="both"/>
              <w:rPr>
                <w:rFonts w:ascii="Franklin Gothic Book" w:hAnsi="Franklin Gothic Book"/>
              </w:rPr>
            </w:pPr>
            <w:r w:rsidRPr="0072025F">
              <w:rPr>
                <w:rFonts w:ascii="Franklin Gothic Book" w:hAnsi="Franklin Gothic Book"/>
                <w:b/>
                <w:bCs/>
                <w:i/>
                <w:iCs/>
                <w:lang w:val="es-ES_tradnl"/>
              </w:rPr>
              <w:lastRenderedPageBreak/>
              <w:t xml:space="preserve">A partir del: </w:t>
            </w:r>
          </w:p>
        </w:tc>
        <w:tc>
          <w:tcPr>
            <w:tcW w:w="2660" w:type="dxa"/>
            <w:tcBorders>
              <w:top w:val="single" w:sz="8" w:space="0" w:color="000000"/>
              <w:left w:val="single" w:sz="4" w:space="0" w:color="000000"/>
              <w:bottom w:val="nil"/>
              <w:right w:val="single" w:sz="4" w:space="0" w:color="000000"/>
            </w:tcBorders>
            <w:tcMar>
              <w:top w:w="0" w:type="dxa"/>
              <w:left w:w="108" w:type="dxa"/>
              <w:bottom w:w="0" w:type="dxa"/>
              <w:right w:w="108" w:type="dxa"/>
            </w:tcMar>
            <w:hideMark/>
          </w:tcPr>
          <w:p w:rsidR="0072025F" w:rsidRPr="0072025F" w:rsidRDefault="0072025F" w:rsidP="0072025F">
            <w:pPr>
              <w:jc w:val="both"/>
              <w:rPr>
                <w:rFonts w:ascii="Franklin Gothic Book" w:hAnsi="Franklin Gothic Book"/>
              </w:rPr>
            </w:pPr>
            <w:r w:rsidRPr="0072025F">
              <w:rPr>
                <w:rFonts w:ascii="Franklin Gothic Book" w:hAnsi="Franklin Gothic Book"/>
                <w:b/>
                <w:bCs/>
                <w:i/>
                <w:iCs/>
                <w:lang w:val="es-ES_tradnl"/>
              </w:rPr>
              <w:t>Tasa de reserva de liquidez</w:t>
            </w:r>
          </w:p>
        </w:tc>
      </w:tr>
      <w:tr w:rsidR="0072025F" w:rsidRPr="0072025F" w:rsidTr="0072025F">
        <w:trPr>
          <w:trHeight w:val="370"/>
          <w:jc w:val="center"/>
        </w:trPr>
        <w:tc>
          <w:tcPr>
            <w:tcW w:w="2666" w:type="dxa"/>
            <w:tcBorders>
              <w:top w:val="nil"/>
              <w:left w:val="single" w:sz="4" w:space="0" w:color="000000"/>
              <w:bottom w:val="single" w:sz="4" w:space="0" w:color="000000"/>
              <w:right w:val="single" w:sz="4" w:space="0" w:color="000000"/>
            </w:tcBorders>
            <w:tcMar>
              <w:top w:w="72" w:type="dxa"/>
              <w:left w:w="108" w:type="dxa"/>
              <w:bottom w:w="72" w:type="dxa"/>
              <w:right w:w="108" w:type="dxa"/>
            </w:tcMar>
            <w:hideMark/>
          </w:tcPr>
          <w:p w:rsidR="0072025F" w:rsidRPr="0072025F" w:rsidRDefault="0072025F" w:rsidP="0072025F">
            <w:pPr>
              <w:jc w:val="both"/>
              <w:rPr>
                <w:rFonts w:ascii="Franklin Gothic Book" w:hAnsi="Franklin Gothic Book"/>
              </w:rPr>
            </w:pPr>
            <w:r w:rsidRPr="0072025F">
              <w:rPr>
                <w:rFonts w:ascii="Franklin Gothic Book" w:hAnsi="Franklin Gothic Book"/>
                <w:i/>
                <w:iCs/>
                <w:lang w:val="es-ES_tradnl"/>
              </w:rPr>
              <w:t>1° de julio del 2015</w:t>
            </w:r>
          </w:p>
        </w:tc>
        <w:tc>
          <w:tcPr>
            <w:tcW w:w="2660"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72025F" w:rsidRPr="0072025F" w:rsidRDefault="0072025F" w:rsidP="0072025F">
            <w:pPr>
              <w:jc w:val="both"/>
              <w:rPr>
                <w:rFonts w:ascii="Franklin Gothic Book" w:hAnsi="Franklin Gothic Book"/>
              </w:rPr>
            </w:pPr>
            <w:r w:rsidRPr="0072025F">
              <w:rPr>
                <w:rFonts w:ascii="Franklin Gothic Book" w:hAnsi="Franklin Gothic Book"/>
                <w:i/>
                <w:iCs/>
                <w:lang w:val="es-ES_tradnl"/>
              </w:rPr>
              <w:t>5%</w:t>
            </w:r>
          </w:p>
        </w:tc>
      </w:tr>
      <w:tr w:rsidR="0072025F" w:rsidRPr="0072025F" w:rsidTr="0072025F">
        <w:trPr>
          <w:trHeight w:val="330"/>
          <w:jc w:val="center"/>
        </w:trPr>
        <w:tc>
          <w:tcPr>
            <w:tcW w:w="2666" w:type="dxa"/>
            <w:tcBorders>
              <w:top w:val="single" w:sz="4" w:space="0" w:color="000000"/>
              <w:left w:val="single" w:sz="4" w:space="0" w:color="000000"/>
              <w:bottom w:val="single" w:sz="4" w:space="0" w:color="000000"/>
              <w:right w:val="single" w:sz="4" w:space="0" w:color="000000"/>
            </w:tcBorders>
            <w:tcMar>
              <w:top w:w="72" w:type="dxa"/>
              <w:left w:w="108" w:type="dxa"/>
              <w:bottom w:w="72" w:type="dxa"/>
              <w:right w:w="108" w:type="dxa"/>
            </w:tcMar>
            <w:hideMark/>
          </w:tcPr>
          <w:p w:rsidR="0072025F" w:rsidRPr="0072025F" w:rsidRDefault="0072025F" w:rsidP="0072025F">
            <w:pPr>
              <w:jc w:val="both"/>
              <w:rPr>
                <w:rFonts w:ascii="Franklin Gothic Book" w:hAnsi="Franklin Gothic Book"/>
              </w:rPr>
            </w:pPr>
            <w:r w:rsidRPr="0072025F">
              <w:rPr>
                <w:rFonts w:ascii="Franklin Gothic Book" w:hAnsi="Franklin Gothic Book"/>
                <w:i/>
                <w:iCs/>
                <w:lang w:val="es-ES_tradnl"/>
              </w:rPr>
              <w:t>1° de agosto del  2015</w:t>
            </w: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025F" w:rsidRPr="0072025F" w:rsidRDefault="0072025F" w:rsidP="0072025F">
            <w:pPr>
              <w:jc w:val="both"/>
              <w:rPr>
                <w:rFonts w:ascii="Franklin Gothic Book" w:hAnsi="Franklin Gothic Book"/>
              </w:rPr>
            </w:pPr>
            <w:r w:rsidRPr="0072025F">
              <w:rPr>
                <w:rFonts w:ascii="Franklin Gothic Book" w:hAnsi="Franklin Gothic Book"/>
                <w:i/>
                <w:iCs/>
                <w:lang w:val="es-ES_tradnl"/>
              </w:rPr>
              <w:t>10%</w:t>
            </w:r>
          </w:p>
        </w:tc>
      </w:tr>
      <w:tr w:rsidR="0072025F" w:rsidRPr="0072025F" w:rsidTr="0072025F">
        <w:trPr>
          <w:trHeight w:val="330"/>
          <w:jc w:val="center"/>
        </w:trPr>
        <w:tc>
          <w:tcPr>
            <w:tcW w:w="2666" w:type="dxa"/>
            <w:tcBorders>
              <w:top w:val="single" w:sz="4" w:space="0" w:color="000000"/>
              <w:left w:val="single" w:sz="4" w:space="0" w:color="000000"/>
              <w:bottom w:val="single" w:sz="4" w:space="0" w:color="000000"/>
              <w:right w:val="single" w:sz="4" w:space="0" w:color="000000"/>
            </w:tcBorders>
            <w:tcMar>
              <w:top w:w="72" w:type="dxa"/>
              <w:left w:w="108" w:type="dxa"/>
              <w:bottom w:w="72" w:type="dxa"/>
              <w:right w:w="108" w:type="dxa"/>
            </w:tcMar>
            <w:hideMark/>
          </w:tcPr>
          <w:p w:rsidR="0072025F" w:rsidRPr="0072025F" w:rsidRDefault="0072025F" w:rsidP="0072025F">
            <w:pPr>
              <w:jc w:val="both"/>
              <w:rPr>
                <w:rFonts w:ascii="Franklin Gothic Book" w:hAnsi="Franklin Gothic Book"/>
              </w:rPr>
            </w:pPr>
            <w:r w:rsidRPr="0072025F">
              <w:rPr>
                <w:rFonts w:ascii="Franklin Gothic Book" w:hAnsi="Franklin Gothic Book"/>
                <w:i/>
                <w:iCs/>
                <w:lang w:val="es-ES_tradnl"/>
              </w:rPr>
              <w:t>1° de setiembre del 2015</w:t>
            </w: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025F" w:rsidRPr="0072025F" w:rsidRDefault="0072025F" w:rsidP="0072025F">
            <w:pPr>
              <w:jc w:val="both"/>
              <w:rPr>
                <w:rFonts w:ascii="Franklin Gothic Book" w:hAnsi="Franklin Gothic Book"/>
              </w:rPr>
            </w:pPr>
            <w:r w:rsidRPr="0072025F">
              <w:rPr>
                <w:rFonts w:ascii="Franklin Gothic Book" w:hAnsi="Franklin Gothic Book"/>
                <w:i/>
                <w:iCs/>
                <w:lang w:val="es-ES_tradnl"/>
              </w:rPr>
              <w:t>15%</w:t>
            </w:r>
          </w:p>
        </w:tc>
      </w:tr>
    </w:tbl>
    <w:p w:rsidR="0072025F" w:rsidRPr="0072025F" w:rsidRDefault="0072025F" w:rsidP="0072025F">
      <w:pPr>
        <w:jc w:val="both"/>
        <w:rPr>
          <w:rFonts w:ascii="Franklin Gothic Book" w:hAnsi="Franklin Gothic Book"/>
        </w:rPr>
      </w:pPr>
      <w:r w:rsidRPr="0072025F">
        <w:rPr>
          <w:rFonts w:ascii="Franklin Gothic Book" w:hAnsi="Franklin Gothic Book"/>
          <w:lang w:val="es-ES_tradnl"/>
        </w:rPr>
        <w:t> </w:t>
      </w:r>
    </w:p>
    <w:p w:rsidR="0072025F" w:rsidRPr="0072025F" w:rsidRDefault="0072025F" w:rsidP="0072025F">
      <w:pPr>
        <w:jc w:val="both"/>
        <w:rPr>
          <w:rFonts w:ascii="Franklin Gothic Book" w:hAnsi="Franklin Gothic Book"/>
        </w:rPr>
      </w:pPr>
      <w:r w:rsidRPr="0072025F">
        <w:rPr>
          <w:rFonts w:ascii="Franklin Gothic Book" w:hAnsi="Franklin Gothic Book"/>
          <w:lang w:val="es-ES_tradnl"/>
        </w:rPr>
        <w:t>6.</w:t>
      </w:r>
      <w:r w:rsidRPr="0072025F">
        <w:rPr>
          <w:rFonts w:ascii="Franklin Gothic Book" w:hAnsi="Franklin Gothic Book"/>
          <w:lang w:val="es-ES_tradnl"/>
        </w:rPr>
        <w:tab/>
      </w:r>
      <w:r w:rsidRPr="0072025F">
        <w:rPr>
          <w:rFonts w:ascii="Franklin Gothic Book" w:hAnsi="Franklin Gothic Book"/>
          <w:b/>
          <w:bCs/>
          <w:lang w:val="es-ES_tradnl"/>
        </w:rPr>
        <w:t xml:space="preserve">Las modificaciones precedentes rigen a partir de su publicación en el Diario Oficial </w:t>
      </w:r>
      <w:r w:rsidRPr="0072025F">
        <w:rPr>
          <w:rFonts w:ascii="Franklin Gothic Book" w:hAnsi="Franklin Gothic Book"/>
          <w:b/>
          <w:bCs/>
          <w:i/>
          <w:iCs/>
          <w:lang w:val="es-ES_tradnl"/>
        </w:rPr>
        <w:t>La Gaceta</w:t>
      </w:r>
      <w:r w:rsidRPr="0072025F">
        <w:rPr>
          <w:rFonts w:ascii="Franklin Gothic Book" w:hAnsi="Franklin Gothic Book"/>
          <w:b/>
          <w:bCs/>
          <w:lang w:val="es-ES_tradnl"/>
        </w:rPr>
        <w:t>.</w:t>
      </w:r>
    </w:p>
    <w:p w:rsidR="0072025F" w:rsidRPr="0072025F" w:rsidRDefault="0072025F" w:rsidP="0072025F">
      <w:pPr>
        <w:jc w:val="both"/>
        <w:rPr>
          <w:rFonts w:ascii="Franklin Gothic Book" w:hAnsi="Franklin Gothic Book"/>
          <w:lang w:val="en-US"/>
        </w:rPr>
      </w:pPr>
      <w:r w:rsidRPr="0072025F">
        <w:rPr>
          <w:rFonts w:ascii="Franklin Gothic Book" w:hAnsi="Franklin Gothic Book"/>
          <w:lang w:val="es-ES_tradnl"/>
        </w:rPr>
        <w:t>Jorge Luis Rivera Coto, Secretario General ad hoc</w:t>
      </w:r>
      <w:proofErr w:type="gramStart"/>
      <w:r w:rsidRPr="0072025F">
        <w:rPr>
          <w:rFonts w:ascii="Franklin Gothic Book" w:hAnsi="Franklin Gothic Book"/>
          <w:lang w:val="es-ES_tradnl"/>
        </w:rPr>
        <w:t>.—</w:t>
      </w:r>
      <w:proofErr w:type="gramEnd"/>
      <w:r w:rsidRPr="0072025F">
        <w:rPr>
          <w:rFonts w:ascii="Franklin Gothic Book" w:hAnsi="Franklin Gothic Book"/>
          <w:lang w:val="es-ES_tradnl"/>
        </w:rPr>
        <w:t xml:space="preserve">1 vez.—O. </w:t>
      </w:r>
      <w:r w:rsidRPr="0072025F">
        <w:rPr>
          <w:rFonts w:ascii="Franklin Gothic Book" w:hAnsi="Franklin Gothic Book"/>
          <w:lang w:val="en-US"/>
        </w:rPr>
        <w:t>C. N° 2015014280.—</w:t>
      </w:r>
      <w:r>
        <w:rPr>
          <w:rFonts w:ascii="Franklin Gothic Book" w:hAnsi="Franklin Gothic Book"/>
          <w:lang w:val="en-US"/>
        </w:rPr>
        <w:t xml:space="preserve"> </w:t>
      </w:r>
      <w:proofErr w:type="spellStart"/>
      <w:r w:rsidRPr="0072025F">
        <w:rPr>
          <w:rFonts w:ascii="Franklin Gothic Book" w:hAnsi="Franklin Gothic Book"/>
          <w:lang w:val="en-US"/>
        </w:rPr>
        <w:t>Solicitud</w:t>
      </w:r>
      <w:proofErr w:type="spellEnd"/>
      <w:r w:rsidRPr="0072025F">
        <w:rPr>
          <w:rFonts w:ascii="Franklin Gothic Book" w:hAnsi="Franklin Gothic Book"/>
          <w:lang w:val="en-US"/>
        </w:rPr>
        <w:t xml:space="preserve"> N° 32260.—(IN2015030447).</w:t>
      </w:r>
    </w:p>
    <w:p w:rsidR="00406D54" w:rsidRPr="0072025F" w:rsidRDefault="001F4F06" w:rsidP="0072025F">
      <w:pPr>
        <w:jc w:val="both"/>
        <w:rPr>
          <w:rFonts w:ascii="Franklin Gothic Book" w:hAnsi="Franklin Gothic Book"/>
          <w:lang w:val="en-US"/>
        </w:rPr>
      </w:pPr>
    </w:p>
    <w:sectPr w:rsidR="00406D54" w:rsidRPr="0072025F">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25F" w:rsidRDefault="0072025F" w:rsidP="0072025F">
      <w:pPr>
        <w:spacing w:after="0" w:line="240" w:lineRule="auto"/>
      </w:pPr>
      <w:r>
        <w:separator/>
      </w:r>
    </w:p>
  </w:endnote>
  <w:endnote w:type="continuationSeparator" w:id="0">
    <w:p w:rsidR="0072025F" w:rsidRDefault="0072025F" w:rsidP="00720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25F" w:rsidRDefault="0072025F" w:rsidP="0072025F">
      <w:pPr>
        <w:spacing w:after="0" w:line="240" w:lineRule="auto"/>
      </w:pPr>
      <w:r>
        <w:separator/>
      </w:r>
    </w:p>
  </w:footnote>
  <w:footnote w:type="continuationSeparator" w:id="0">
    <w:p w:rsidR="0072025F" w:rsidRDefault="0072025F" w:rsidP="007202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25F" w:rsidRPr="0072025F" w:rsidRDefault="0072025F" w:rsidP="0072025F">
    <w:pPr>
      <w:pStyle w:val="Encabezado"/>
      <w:spacing w:line="480" w:lineRule="auto"/>
      <w:jc w:val="center"/>
      <w:rPr>
        <w:b/>
        <w:sz w:val="24"/>
      </w:rPr>
    </w:pPr>
    <w:r w:rsidRPr="0072025F">
      <w:rPr>
        <w:b/>
        <w:sz w:val="24"/>
      </w:rPr>
      <w:t>Gaceta N</w:t>
    </w:r>
    <w:r w:rsidRPr="0072025F">
      <w:rPr>
        <w:b/>
        <w:sz w:val="24"/>
      </w:rPr>
      <w:sym w:font="Symbol" w:char="F0B0"/>
    </w:r>
    <w:r w:rsidRPr="0072025F">
      <w:rPr>
        <w:b/>
        <w:sz w:val="24"/>
      </w:rPr>
      <w:t xml:space="preserve"> 10</w:t>
    </w:r>
    <w:r w:rsidR="006A7954">
      <w:rPr>
        <w:b/>
        <w:sz w:val="24"/>
      </w:rPr>
      <w:t>3</w:t>
    </w:r>
    <w:r w:rsidRPr="0072025F">
      <w:rPr>
        <w:b/>
        <w:sz w:val="24"/>
      </w:rPr>
      <w:t xml:space="preserve"> del 29 de mayo de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25F"/>
    <w:rsid w:val="000E0B84"/>
    <w:rsid w:val="00345802"/>
    <w:rsid w:val="00373641"/>
    <w:rsid w:val="004D0262"/>
    <w:rsid w:val="005031B1"/>
    <w:rsid w:val="005658C6"/>
    <w:rsid w:val="005B6EB9"/>
    <w:rsid w:val="006A7954"/>
    <w:rsid w:val="006D5269"/>
    <w:rsid w:val="0072025F"/>
    <w:rsid w:val="00727839"/>
    <w:rsid w:val="009E1B9F"/>
    <w:rsid w:val="00E22E2C"/>
    <w:rsid w:val="00E863C0"/>
    <w:rsid w:val="00F116AD"/>
    <w:rsid w:val="00F8539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B66A7D-F65A-456A-8B4E-415E6BE7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202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025F"/>
  </w:style>
  <w:style w:type="paragraph" w:styleId="Piedepgina">
    <w:name w:val="footer"/>
    <w:basedOn w:val="Normal"/>
    <w:link w:val="PiedepginaCar"/>
    <w:uiPriority w:val="99"/>
    <w:unhideWhenUsed/>
    <w:rsid w:val="007202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025F"/>
  </w:style>
  <w:style w:type="paragraph" w:styleId="Prrafodelista">
    <w:name w:val="List Paragraph"/>
    <w:basedOn w:val="Normal"/>
    <w:uiPriority w:val="34"/>
    <w:qFormat/>
    <w:rsid w:val="007202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138036">
      <w:bodyDiv w:val="1"/>
      <w:marLeft w:val="0"/>
      <w:marRight w:val="0"/>
      <w:marTop w:val="0"/>
      <w:marBottom w:val="0"/>
      <w:divBdr>
        <w:top w:val="none" w:sz="0" w:space="0" w:color="auto"/>
        <w:left w:val="none" w:sz="0" w:space="0" w:color="auto"/>
        <w:bottom w:val="none" w:sz="0" w:space="0" w:color="auto"/>
        <w:right w:val="none" w:sz="0" w:space="0" w:color="auto"/>
      </w:divBdr>
      <w:divsChild>
        <w:div w:id="230434847">
          <w:marLeft w:val="0"/>
          <w:marRight w:val="0"/>
          <w:marTop w:val="0"/>
          <w:marBottom w:val="0"/>
          <w:divBdr>
            <w:top w:val="none" w:sz="0" w:space="0" w:color="auto"/>
            <w:left w:val="none" w:sz="0" w:space="0" w:color="auto"/>
            <w:bottom w:val="none" w:sz="0" w:space="0" w:color="auto"/>
            <w:right w:val="none" w:sz="0" w:space="0" w:color="auto"/>
          </w:divBdr>
          <w:divsChild>
            <w:div w:id="1270744572">
              <w:marLeft w:val="0"/>
              <w:marRight w:val="0"/>
              <w:marTop w:val="0"/>
              <w:marBottom w:val="0"/>
              <w:divBdr>
                <w:top w:val="none" w:sz="0" w:space="0" w:color="auto"/>
                <w:left w:val="none" w:sz="0" w:space="0" w:color="auto"/>
                <w:bottom w:val="none" w:sz="0" w:space="0" w:color="auto"/>
                <w:right w:val="none" w:sz="0" w:space="0" w:color="auto"/>
              </w:divBdr>
              <w:divsChild>
                <w:div w:id="2019770127">
                  <w:marLeft w:val="0"/>
                  <w:marRight w:val="0"/>
                  <w:marTop w:val="0"/>
                  <w:marBottom w:val="0"/>
                  <w:divBdr>
                    <w:top w:val="none" w:sz="0" w:space="0" w:color="auto"/>
                    <w:left w:val="none" w:sz="0" w:space="0" w:color="auto"/>
                    <w:bottom w:val="none" w:sz="0" w:space="0" w:color="auto"/>
                    <w:right w:val="none" w:sz="0" w:space="0" w:color="auto"/>
                  </w:divBdr>
                  <w:divsChild>
                    <w:div w:id="1593588787">
                      <w:marLeft w:val="3900"/>
                      <w:marRight w:val="3900"/>
                      <w:marTop w:val="0"/>
                      <w:marBottom w:val="0"/>
                      <w:divBdr>
                        <w:top w:val="none" w:sz="0" w:space="0" w:color="auto"/>
                        <w:left w:val="none" w:sz="0" w:space="0" w:color="auto"/>
                        <w:bottom w:val="none" w:sz="0" w:space="0" w:color="auto"/>
                        <w:right w:val="none" w:sz="0" w:space="0" w:color="auto"/>
                      </w:divBdr>
                      <w:divsChild>
                        <w:div w:id="1108617284">
                          <w:marLeft w:val="0"/>
                          <w:marRight w:val="0"/>
                          <w:marTop w:val="0"/>
                          <w:marBottom w:val="0"/>
                          <w:divBdr>
                            <w:top w:val="none" w:sz="0" w:space="0" w:color="auto"/>
                            <w:left w:val="none" w:sz="0" w:space="0" w:color="auto"/>
                            <w:bottom w:val="none" w:sz="0" w:space="0" w:color="auto"/>
                            <w:right w:val="none" w:sz="0" w:space="0" w:color="auto"/>
                          </w:divBdr>
                          <w:divsChild>
                            <w:div w:id="1417943303">
                              <w:marLeft w:val="0"/>
                              <w:marRight w:val="0"/>
                              <w:marTop w:val="0"/>
                              <w:marBottom w:val="0"/>
                              <w:divBdr>
                                <w:top w:val="none" w:sz="0" w:space="0" w:color="auto"/>
                                <w:left w:val="none" w:sz="0" w:space="0" w:color="auto"/>
                                <w:bottom w:val="none" w:sz="0" w:space="0" w:color="auto"/>
                                <w:right w:val="none" w:sz="0" w:space="0" w:color="auto"/>
                              </w:divBdr>
                              <w:divsChild>
                                <w:div w:id="14492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998625">
      <w:bodyDiv w:val="1"/>
      <w:marLeft w:val="0"/>
      <w:marRight w:val="0"/>
      <w:marTop w:val="0"/>
      <w:marBottom w:val="0"/>
      <w:divBdr>
        <w:top w:val="none" w:sz="0" w:space="0" w:color="auto"/>
        <w:left w:val="none" w:sz="0" w:space="0" w:color="auto"/>
        <w:bottom w:val="none" w:sz="0" w:space="0" w:color="auto"/>
        <w:right w:val="none" w:sz="0" w:space="0" w:color="auto"/>
      </w:divBdr>
      <w:divsChild>
        <w:div w:id="398482090">
          <w:marLeft w:val="0"/>
          <w:marRight w:val="0"/>
          <w:marTop w:val="0"/>
          <w:marBottom w:val="0"/>
          <w:divBdr>
            <w:top w:val="none" w:sz="0" w:space="0" w:color="auto"/>
            <w:left w:val="none" w:sz="0" w:space="0" w:color="auto"/>
            <w:bottom w:val="none" w:sz="0" w:space="0" w:color="auto"/>
            <w:right w:val="none" w:sz="0" w:space="0" w:color="auto"/>
          </w:divBdr>
          <w:divsChild>
            <w:div w:id="455564360">
              <w:marLeft w:val="0"/>
              <w:marRight w:val="0"/>
              <w:marTop w:val="0"/>
              <w:marBottom w:val="0"/>
              <w:divBdr>
                <w:top w:val="none" w:sz="0" w:space="0" w:color="auto"/>
                <w:left w:val="none" w:sz="0" w:space="0" w:color="auto"/>
                <w:bottom w:val="none" w:sz="0" w:space="0" w:color="auto"/>
                <w:right w:val="none" w:sz="0" w:space="0" w:color="auto"/>
              </w:divBdr>
              <w:divsChild>
                <w:div w:id="1979262222">
                  <w:marLeft w:val="0"/>
                  <w:marRight w:val="0"/>
                  <w:marTop w:val="0"/>
                  <w:marBottom w:val="0"/>
                  <w:divBdr>
                    <w:top w:val="none" w:sz="0" w:space="0" w:color="auto"/>
                    <w:left w:val="none" w:sz="0" w:space="0" w:color="auto"/>
                    <w:bottom w:val="none" w:sz="0" w:space="0" w:color="auto"/>
                    <w:right w:val="none" w:sz="0" w:space="0" w:color="auto"/>
                  </w:divBdr>
                  <w:divsChild>
                    <w:div w:id="216283730">
                      <w:marLeft w:val="3900"/>
                      <w:marRight w:val="3900"/>
                      <w:marTop w:val="0"/>
                      <w:marBottom w:val="0"/>
                      <w:divBdr>
                        <w:top w:val="none" w:sz="0" w:space="0" w:color="auto"/>
                        <w:left w:val="none" w:sz="0" w:space="0" w:color="auto"/>
                        <w:bottom w:val="none" w:sz="0" w:space="0" w:color="auto"/>
                        <w:right w:val="none" w:sz="0" w:space="0" w:color="auto"/>
                      </w:divBdr>
                      <w:divsChild>
                        <w:div w:id="64887216">
                          <w:marLeft w:val="0"/>
                          <w:marRight w:val="0"/>
                          <w:marTop w:val="0"/>
                          <w:marBottom w:val="0"/>
                          <w:divBdr>
                            <w:top w:val="none" w:sz="0" w:space="0" w:color="auto"/>
                            <w:left w:val="none" w:sz="0" w:space="0" w:color="auto"/>
                            <w:bottom w:val="none" w:sz="0" w:space="0" w:color="auto"/>
                            <w:right w:val="none" w:sz="0" w:space="0" w:color="auto"/>
                          </w:divBdr>
                          <w:divsChild>
                            <w:div w:id="1873613001">
                              <w:marLeft w:val="0"/>
                              <w:marRight w:val="0"/>
                              <w:marTop w:val="0"/>
                              <w:marBottom w:val="0"/>
                              <w:divBdr>
                                <w:top w:val="none" w:sz="0" w:space="0" w:color="auto"/>
                                <w:left w:val="none" w:sz="0" w:space="0" w:color="auto"/>
                                <w:bottom w:val="none" w:sz="0" w:space="0" w:color="auto"/>
                                <w:right w:val="none" w:sz="0" w:space="0" w:color="auto"/>
                              </w:divBdr>
                              <w:divsChild>
                                <w:div w:id="59212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682353">
      <w:bodyDiv w:val="1"/>
      <w:marLeft w:val="0"/>
      <w:marRight w:val="0"/>
      <w:marTop w:val="0"/>
      <w:marBottom w:val="0"/>
      <w:divBdr>
        <w:top w:val="none" w:sz="0" w:space="0" w:color="auto"/>
        <w:left w:val="none" w:sz="0" w:space="0" w:color="auto"/>
        <w:bottom w:val="none" w:sz="0" w:space="0" w:color="auto"/>
        <w:right w:val="none" w:sz="0" w:space="0" w:color="auto"/>
      </w:divBdr>
      <w:divsChild>
        <w:div w:id="1429886687">
          <w:marLeft w:val="0"/>
          <w:marRight w:val="0"/>
          <w:marTop w:val="0"/>
          <w:marBottom w:val="0"/>
          <w:divBdr>
            <w:top w:val="none" w:sz="0" w:space="0" w:color="auto"/>
            <w:left w:val="none" w:sz="0" w:space="0" w:color="auto"/>
            <w:bottom w:val="none" w:sz="0" w:space="0" w:color="auto"/>
            <w:right w:val="none" w:sz="0" w:space="0" w:color="auto"/>
          </w:divBdr>
          <w:divsChild>
            <w:div w:id="1764495381">
              <w:marLeft w:val="0"/>
              <w:marRight w:val="0"/>
              <w:marTop w:val="0"/>
              <w:marBottom w:val="0"/>
              <w:divBdr>
                <w:top w:val="none" w:sz="0" w:space="0" w:color="auto"/>
                <w:left w:val="none" w:sz="0" w:space="0" w:color="auto"/>
                <w:bottom w:val="none" w:sz="0" w:space="0" w:color="auto"/>
                <w:right w:val="none" w:sz="0" w:space="0" w:color="auto"/>
              </w:divBdr>
              <w:divsChild>
                <w:div w:id="1092819375">
                  <w:marLeft w:val="0"/>
                  <w:marRight w:val="0"/>
                  <w:marTop w:val="0"/>
                  <w:marBottom w:val="0"/>
                  <w:divBdr>
                    <w:top w:val="none" w:sz="0" w:space="0" w:color="auto"/>
                    <w:left w:val="none" w:sz="0" w:space="0" w:color="auto"/>
                    <w:bottom w:val="none" w:sz="0" w:space="0" w:color="auto"/>
                    <w:right w:val="none" w:sz="0" w:space="0" w:color="auto"/>
                  </w:divBdr>
                  <w:divsChild>
                    <w:div w:id="520977565">
                      <w:marLeft w:val="3900"/>
                      <w:marRight w:val="3900"/>
                      <w:marTop w:val="0"/>
                      <w:marBottom w:val="0"/>
                      <w:divBdr>
                        <w:top w:val="none" w:sz="0" w:space="0" w:color="auto"/>
                        <w:left w:val="none" w:sz="0" w:space="0" w:color="auto"/>
                        <w:bottom w:val="none" w:sz="0" w:space="0" w:color="auto"/>
                        <w:right w:val="none" w:sz="0" w:space="0" w:color="auto"/>
                      </w:divBdr>
                      <w:divsChild>
                        <w:div w:id="1621496997">
                          <w:marLeft w:val="0"/>
                          <w:marRight w:val="0"/>
                          <w:marTop w:val="0"/>
                          <w:marBottom w:val="0"/>
                          <w:divBdr>
                            <w:top w:val="none" w:sz="0" w:space="0" w:color="auto"/>
                            <w:left w:val="none" w:sz="0" w:space="0" w:color="auto"/>
                            <w:bottom w:val="none" w:sz="0" w:space="0" w:color="auto"/>
                            <w:right w:val="none" w:sz="0" w:space="0" w:color="auto"/>
                          </w:divBdr>
                          <w:divsChild>
                            <w:div w:id="1637640856">
                              <w:marLeft w:val="0"/>
                              <w:marRight w:val="0"/>
                              <w:marTop w:val="0"/>
                              <w:marBottom w:val="0"/>
                              <w:divBdr>
                                <w:top w:val="none" w:sz="0" w:space="0" w:color="auto"/>
                                <w:left w:val="none" w:sz="0" w:space="0" w:color="auto"/>
                                <w:bottom w:val="none" w:sz="0" w:space="0" w:color="auto"/>
                                <w:right w:val="none" w:sz="0" w:space="0" w:color="auto"/>
                              </w:divBdr>
                              <w:divsChild>
                                <w:div w:id="31236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1951</Words>
  <Characters>10733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CASTRO ALPIZAR EDDY</dc:creator>
  <cp:lastModifiedBy>Elvis Jimenez Gutierrez</cp:lastModifiedBy>
  <cp:revision>2</cp:revision>
  <dcterms:created xsi:type="dcterms:W3CDTF">2015-06-03T15:53:00Z</dcterms:created>
  <dcterms:modified xsi:type="dcterms:W3CDTF">2015-06-03T15:53:00Z</dcterms:modified>
</cp:coreProperties>
</file>