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EE88" w14:textId="77777777" w:rsidR="00370207" w:rsidRPr="00607434" w:rsidRDefault="00370207" w:rsidP="00607434">
      <w:pPr>
        <w:jc w:val="both"/>
        <w:rPr>
          <w:b/>
          <w:i/>
          <w:sz w:val="24"/>
          <w:szCs w:val="24"/>
        </w:rPr>
      </w:pPr>
    </w:p>
    <w:p w14:paraId="2B03BB96" w14:textId="77777777" w:rsidR="004D7C2C" w:rsidRPr="00607434" w:rsidRDefault="004D7C2C" w:rsidP="00607434">
      <w:pPr>
        <w:widowControl w:val="0"/>
        <w:jc w:val="both"/>
        <w:rPr>
          <w:sz w:val="24"/>
          <w:szCs w:val="24"/>
          <w:lang w:val="es-CR"/>
        </w:rPr>
      </w:pPr>
    </w:p>
    <w:p w14:paraId="1A8E9137" w14:textId="2EBC24D2" w:rsidR="00CA7921" w:rsidRPr="00607434" w:rsidRDefault="00CA7921" w:rsidP="00607434">
      <w:pPr>
        <w:widowControl w:val="0"/>
        <w:jc w:val="both"/>
        <w:rPr>
          <w:sz w:val="24"/>
          <w:szCs w:val="24"/>
        </w:rPr>
      </w:pPr>
      <w:r w:rsidRPr="00607434">
        <w:rPr>
          <w:sz w:val="24"/>
          <w:szCs w:val="24"/>
        </w:rPr>
        <w:t>2</w:t>
      </w:r>
      <w:r w:rsidR="004A688D">
        <w:rPr>
          <w:sz w:val="24"/>
          <w:szCs w:val="24"/>
        </w:rPr>
        <w:t>1</w:t>
      </w:r>
      <w:r w:rsidRPr="00607434">
        <w:rPr>
          <w:sz w:val="24"/>
          <w:szCs w:val="24"/>
        </w:rPr>
        <w:t xml:space="preserve"> de abril del 2022</w:t>
      </w:r>
    </w:p>
    <w:p w14:paraId="6A65A63F" w14:textId="6810E59F" w:rsidR="00CA7921" w:rsidRPr="00607434" w:rsidRDefault="00CA7921" w:rsidP="00607434">
      <w:pPr>
        <w:ind w:left="567" w:hanging="567"/>
        <w:jc w:val="both"/>
        <w:rPr>
          <w:sz w:val="24"/>
          <w:szCs w:val="24"/>
        </w:rPr>
      </w:pPr>
      <w:r w:rsidRPr="00607434">
        <w:rPr>
          <w:sz w:val="24"/>
          <w:szCs w:val="24"/>
        </w:rPr>
        <w:t>CNS-1725/</w:t>
      </w:r>
      <w:r w:rsidR="00C760F6" w:rsidRPr="00607434">
        <w:rPr>
          <w:sz w:val="24"/>
          <w:szCs w:val="24"/>
        </w:rPr>
        <w:t>0</w:t>
      </w:r>
      <w:r w:rsidR="00FC7358" w:rsidRPr="00607434">
        <w:rPr>
          <w:sz w:val="24"/>
          <w:szCs w:val="24"/>
        </w:rPr>
        <w:t>8</w:t>
      </w:r>
    </w:p>
    <w:p w14:paraId="68AD0FB9" w14:textId="6EFC6E86" w:rsidR="00BE20CB" w:rsidRPr="00607434" w:rsidRDefault="00BE20CB" w:rsidP="00607434">
      <w:pPr>
        <w:ind w:left="567" w:hanging="567"/>
        <w:jc w:val="both"/>
        <w:rPr>
          <w:sz w:val="24"/>
          <w:szCs w:val="24"/>
        </w:rPr>
      </w:pPr>
      <w:r w:rsidRPr="00607434">
        <w:rPr>
          <w:sz w:val="24"/>
          <w:szCs w:val="24"/>
        </w:rPr>
        <w:t>CNS-1726/</w:t>
      </w:r>
      <w:r w:rsidR="00FC7358" w:rsidRPr="00607434">
        <w:rPr>
          <w:sz w:val="24"/>
          <w:szCs w:val="24"/>
        </w:rPr>
        <w:t>09</w:t>
      </w:r>
    </w:p>
    <w:p w14:paraId="58A7B2BA" w14:textId="77777777" w:rsidR="00CA7921" w:rsidRPr="00607434" w:rsidRDefault="00CA7921" w:rsidP="00607434">
      <w:pPr>
        <w:jc w:val="both"/>
        <w:rPr>
          <w:b/>
          <w:i/>
          <w:sz w:val="24"/>
          <w:szCs w:val="24"/>
        </w:rPr>
      </w:pPr>
    </w:p>
    <w:p w14:paraId="34805C5E" w14:textId="77777777" w:rsidR="00CA7921" w:rsidRPr="00607434" w:rsidRDefault="00CA7921" w:rsidP="00607434">
      <w:pPr>
        <w:jc w:val="both"/>
        <w:rPr>
          <w:b/>
          <w:i/>
          <w:sz w:val="24"/>
          <w:szCs w:val="24"/>
        </w:rPr>
      </w:pPr>
    </w:p>
    <w:p w14:paraId="79A8CA54" w14:textId="77777777" w:rsidR="002F51C0" w:rsidRPr="00823901" w:rsidRDefault="002F51C0" w:rsidP="002F51C0">
      <w:pPr>
        <w:widowControl w:val="0"/>
        <w:jc w:val="both"/>
        <w:rPr>
          <w:sz w:val="24"/>
          <w:szCs w:val="24"/>
        </w:rPr>
      </w:pPr>
      <w:r w:rsidRPr="00823901">
        <w:rPr>
          <w:sz w:val="24"/>
          <w:szCs w:val="24"/>
        </w:rPr>
        <w:t>Señores</w:t>
      </w:r>
    </w:p>
    <w:p w14:paraId="5B66DF51" w14:textId="77777777" w:rsidR="002F51C0" w:rsidRPr="00823901" w:rsidRDefault="002F51C0" w:rsidP="002F51C0">
      <w:pPr>
        <w:widowControl w:val="0"/>
        <w:jc w:val="both"/>
        <w:rPr>
          <w:sz w:val="24"/>
          <w:szCs w:val="24"/>
        </w:rPr>
      </w:pPr>
      <w:r w:rsidRPr="00823901">
        <w:rPr>
          <w:sz w:val="24"/>
          <w:szCs w:val="24"/>
        </w:rPr>
        <w:t>María del Rocío Aguilar Montoya, superintendente SUGEF - SUPEN</w:t>
      </w:r>
    </w:p>
    <w:p w14:paraId="1492085C" w14:textId="77777777" w:rsidR="002F51C0" w:rsidRPr="00823901" w:rsidRDefault="002F51C0" w:rsidP="002F51C0">
      <w:pPr>
        <w:widowControl w:val="0"/>
        <w:jc w:val="both"/>
        <w:rPr>
          <w:sz w:val="24"/>
          <w:szCs w:val="24"/>
        </w:rPr>
      </w:pPr>
      <w:r w:rsidRPr="00823901">
        <w:rPr>
          <w:sz w:val="24"/>
          <w:szCs w:val="24"/>
        </w:rPr>
        <w:t>María Lucía Fernández Garita, superintendente SUGEVAL</w:t>
      </w:r>
    </w:p>
    <w:p w14:paraId="41577468" w14:textId="77777777" w:rsidR="002F51C0" w:rsidRPr="00823901" w:rsidRDefault="002F51C0" w:rsidP="002F51C0">
      <w:pPr>
        <w:widowControl w:val="0"/>
        <w:jc w:val="both"/>
        <w:rPr>
          <w:sz w:val="24"/>
          <w:szCs w:val="24"/>
        </w:rPr>
      </w:pPr>
      <w:r w:rsidRPr="00823901">
        <w:rPr>
          <w:sz w:val="24"/>
          <w:szCs w:val="24"/>
        </w:rPr>
        <w:t>Tomás Soley Pérez, superintendente SUGESE</w:t>
      </w:r>
    </w:p>
    <w:p w14:paraId="5319A275" w14:textId="77777777" w:rsidR="002F51C0" w:rsidRPr="000B07C0" w:rsidRDefault="002F51C0" w:rsidP="002F51C0">
      <w:pPr>
        <w:widowControl w:val="0"/>
        <w:jc w:val="both"/>
        <w:rPr>
          <w:sz w:val="24"/>
          <w:szCs w:val="24"/>
        </w:rPr>
      </w:pPr>
    </w:p>
    <w:p w14:paraId="197A32D4" w14:textId="77777777" w:rsidR="002F51C0" w:rsidRPr="000B07C0" w:rsidRDefault="002F51C0" w:rsidP="002F51C0">
      <w:pPr>
        <w:widowControl w:val="0"/>
        <w:jc w:val="both"/>
        <w:rPr>
          <w:sz w:val="24"/>
          <w:szCs w:val="24"/>
        </w:rPr>
      </w:pPr>
    </w:p>
    <w:p w14:paraId="7FFCBE10" w14:textId="77777777" w:rsidR="002F51C0" w:rsidRPr="000B07C0" w:rsidRDefault="002F51C0" w:rsidP="002F51C0">
      <w:pPr>
        <w:widowControl w:val="0"/>
        <w:jc w:val="both"/>
        <w:rPr>
          <w:sz w:val="24"/>
          <w:szCs w:val="24"/>
        </w:rPr>
      </w:pPr>
      <w:r w:rsidRPr="000B07C0">
        <w:rPr>
          <w:sz w:val="24"/>
          <w:szCs w:val="24"/>
        </w:rPr>
        <w:t>Estimado</w:t>
      </w:r>
      <w:r>
        <w:rPr>
          <w:sz w:val="24"/>
          <w:szCs w:val="24"/>
        </w:rPr>
        <w:t>s</w:t>
      </w:r>
      <w:r w:rsidRPr="000B07C0">
        <w:rPr>
          <w:sz w:val="24"/>
          <w:szCs w:val="24"/>
        </w:rPr>
        <w:t xml:space="preserve"> señor</w:t>
      </w:r>
      <w:r>
        <w:rPr>
          <w:sz w:val="24"/>
          <w:szCs w:val="24"/>
        </w:rPr>
        <w:t>es</w:t>
      </w:r>
      <w:r w:rsidRPr="000B07C0">
        <w:rPr>
          <w:sz w:val="24"/>
          <w:szCs w:val="24"/>
        </w:rPr>
        <w:t>:</w:t>
      </w:r>
    </w:p>
    <w:p w14:paraId="3CE43D3F" w14:textId="77777777" w:rsidR="00CA7921" w:rsidRPr="00607434" w:rsidRDefault="00CA7921" w:rsidP="00607434">
      <w:pPr>
        <w:jc w:val="both"/>
        <w:rPr>
          <w:b/>
          <w:i/>
          <w:sz w:val="24"/>
          <w:szCs w:val="24"/>
        </w:rPr>
      </w:pPr>
    </w:p>
    <w:p w14:paraId="1B0E8077" w14:textId="32E8110F" w:rsidR="00CA7921" w:rsidRPr="00607434" w:rsidRDefault="00CA7921" w:rsidP="00607434">
      <w:pPr>
        <w:widowControl w:val="0"/>
        <w:jc w:val="both"/>
        <w:rPr>
          <w:sz w:val="24"/>
          <w:szCs w:val="24"/>
        </w:rPr>
      </w:pPr>
      <w:r w:rsidRPr="00607434">
        <w:rPr>
          <w:sz w:val="24"/>
          <w:szCs w:val="24"/>
        </w:rPr>
        <w:t>El Consejo Nacional de Supervisión del Sistema Financiero, en l</w:t>
      </w:r>
      <w:r w:rsidR="008E74A9" w:rsidRPr="00607434">
        <w:rPr>
          <w:sz w:val="24"/>
          <w:szCs w:val="24"/>
        </w:rPr>
        <w:t>os</w:t>
      </w:r>
      <w:r w:rsidRPr="00607434">
        <w:rPr>
          <w:sz w:val="24"/>
          <w:szCs w:val="24"/>
        </w:rPr>
        <w:t xml:space="preserve"> artículo</w:t>
      </w:r>
      <w:r w:rsidR="008E74A9" w:rsidRPr="00607434">
        <w:rPr>
          <w:sz w:val="24"/>
          <w:szCs w:val="24"/>
        </w:rPr>
        <w:t>s</w:t>
      </w:r>
      <w:r w:rsidRPr="00607434">
        <w:rPr>
          <w:sz w:val="24"/>
          <w:szCs w:val="24"/>
        </w:rPr>
        <w:t xml:space="preserve"> </w:t>
      </w:r>
      <w:r w:rsidR="00FC7358" w:rsidRPr="00607434">
        <w:rPr>
          <w:sz w:val="24"/>
          <w:szCs w:val="24"/>
        </w:rPr>
        <w:t xml:space="preserve">8 y </w:t>
      </w:r>
      <w:r w:rsidR="00C760F6" w:rsidRPr="00607434">
        <w:rPr>
          <w:sz w:val="24"/>
          <w:szCs w:val="24"/>
        </w:rPr>
        <w:t>9</w:t>
      </w:r>
      <w:r w:rsidRPr="00607434">
        <w:rPr>
          <w:sz w:val="24"/>
          <w:szCs w:val="24"/>
        </w:rPr>
        <w:t xml:space="preserve"> de</w:t>
      </w:r>
      <w:r w:rsidR="008E74A9" w:rsidRPr="00607434">
        <w:rPr>
          <w:sz w:val="24"/>
          <w:szCs w:val="24"/>
        </w:rPr>
        <w:t xml:space="preserve"> </w:t>
      </w:r>
      <w:r w:rsidRPr="00607434">
        <w:rPr>
          <w:sz w:val="24"/>
          <w:szCs w:val="24"/>
        </w:rPr>
        <w:t>l</w:t>
      </w:r>
      <w:r w:rsidR="008E74A9" w:rsidRPr="00607434">
        <w:rPr>
          <w:sz w:val="24"/>
          <w:szCs w:val="24"/>
        </w:rPr>
        <w:t>as</w:t>
      </w:r>
      <w:r w:rsidRPr="00607434">
        <w:rPr>
          <w:sz w:val="24"/>
          <w:szCs w:val="24"/>
        </w:rPr>
        <w:t xml:space="preserve"> acta</w:t>
      </w:r>
      <w:r w:rsidR="008E74A9" w:rsidRPr="00607434">
        <w:rPr>
          <w:sz w:val="24"/>
          <w:szCs w:val="24"/>
        </w:rPr>
        <w:t>s</w:t>
      </w:r>
      <w:r w:rsidRPr="00607434">
        <w:rPr>
          <w:sz w:val="24"/>
          <w:szCs w:val="24"/>
        </w:rPr>
        <w:t xml:space="preserve"> de la</w:t>
      </w:r>
      <w:r w:rsidR="008E74A9" w:rsidRPr="00607434">
        <w:rPr>
          <w:sz w:val="24"/>
          <w:szCs w:val="24"/>
        </w:rPr>
        <w:t>s</w:t>
      </w:r>
      <w:r w:rsidRPr="00607434">
        <w:rPr>
          <w:sz w:val="24"/>
          <w:szCs w:val="24"/>
        </w:rPr>
        <w:t xml:space="preserve"> sesi</w:t>
      </w:r>
      <w:r w:rsidR="008E74A9" w:rsidRPr="00607434">
        <w:rPr>
          <w:sz w:val="24"/>
          <w:szCs w:val="24"/>
        </w:rPr>
        <w:t>ones</w:t>
      </w:r>
      <w:r w:rsidRPr="00607434">
        <w:rPr>
          <w:sz w:val="24"/>
          <w:szCs w:val="24"/>
        </w:rPr>
        <w:t xml:space="preserve"> 1725-2022</w:t>
      </w:r>
      <w:r w:rsidR="008E74A9" w:rsidRPr="00607434">
        <w:rPr>
          <w:sz w:val="24"/>
          <w:szCs w:val="24"/>
        </w:rPr>
        <w:t xml:space="preserve"> y 1726-2022</w:t>
      </w:r>
      <w:r w:rsidRPr="00607434">
        <w:rPr>
          <w:sz w:val="24"/>
          <w:szCs w:val="24"/>
        </w:rPr>
        <w:t>, celebrada</w:t>
      </w:r>
      <w:r w:rsidR="008E74A9" w:rsidRPr="00607434">
        <w:rPr>
          <w:sz w:val="24"/>
          <w:szCs w:val="24"/>
        </w:rPr>
        <w:t>s</w:t>
      </w:r>
      <w:r w:rsidRPr="00607434">
        <w:rPr>
          <w:sz w:val="24"/>
          <w:szCs w:val="24"/>
        </w:rPr>
        <w:t xml:space="preserve"> el 18 de abril del 2022,</w:t>
      </w:r>
    </w:p>
    <w:p w14:paraId="3FDE42A3" w14:textId="35994815" w:rsidR="000246D3" w:rsidRPr="00607434" w:rsidRDefault="000246D3" w:rsidP="00607434">
      <w:pPr>
        <w:widowControl w:val="0"/>
        <w:jc w:val="both"/>
        <w:rPr>
          <w:sz w:val="24"/>
          <w:szCs w:val="24"/>
        </w:rPr>
      </w:pPr>
    </w:p>
    <w:p w14:paraId="6CF6E610" w14:textId="269F727E" w:rsidR="00607434" w:rsidRPr="00607434" w:rsidRDefault="00607434" w:rsidP="00607434">
      <w:pPr>
        <w:contextualSpacing/>
        <w:jc w:val="both"/>
        <w:rPr>
          <w:b/>
          <w:sz w:val="24"/>
          <w:szCs w:val="24"/>
        </w:rPr>
      </w:pPr>
      <w:r w:rsidRPr="00607434">
        <w:rPr>
          <w:b/>
          <w:sz w:val="24"/>
          <w:szCs w:val="24"/>
        </w:rPr>
        <w:t>considerando que:</w:t>
      </w:r>
    </w:p>
    <w:p w14:paraId="56E4DFB5" w14:textId="77777777" w:rsidR="00607434" w:rsidRPr="00607434" w:rsidRDefault="00607434" w:rsidP="00607434">
      <w:pPr>
        <w:contextualSpacing/>
        <w:jc w:val="both"/>
        <w:rPr>
          <w:b/>
          <w:sz w:val="24"/>
          <w:szCs w:val="24"/>
        </w:rPr>
      </w:pPr>
    </w:p>
    <w:p w14:paraId="2567122D" w14:textId="0EBC28B7"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A.</w:t>
      </w:r>
      <w:r w:rsidRPr="00607434">
        <w:rPr>
          <w:sz w:val="24"/>
          <w:szCs w:val="24"/>
        </w:rPr>
        <w:tab/>
        <w:t xml:space="preserve">El Consejo Nacional de Supervisión del Sistema Financiero (CONASSIF), se creó mediante artículo 169 de la </w:t>
      </w:r>
      <w:r w:rsidRPr="00607434">
        <w:rPr>
          <w:i/>
          <w:iCs/>
          <w:sz w:val="24"/>
          <w:szCs w:val="24"/>
        </w:rPr>
        <w:t>Ley Reguladora del Mercado de Valores,</w:t>
      </w:r>
      <w:r w:rsidRPr="00607434">
        <w:rPr>
          <w:sz w:val="24"/>
          <w:szCs w:val="24"/>
        </w:rPr>
        <w:t xml:space="preserve"> Ley 7732, del 17 de diciembre de 1997.</w:t>
      </w:r>
      <w:r w:rsidR="00763933" w:rsidRPr="00CD60ED">
        <w:rPr>
          <w:sz w:val="24"/>
          <w:szCs w:val="24"/>
        </w:rPr>
        <w:t xml:space="preserve"> </w:t>
      </w:r>
      <w:r w:rsidRPr="00607434">
        <w:rPr>
          <w:sz w:val="24"/>
          <w:szCs w:val="24"/>
        </w:rPr>
        <w:t>En su propia génesis legislativa, se concibió</w:t>
      </w:r>
      <w:r w:rsidR="00763933" w:rsidRPr="00CD60ED">
        <w:rPr>
          <w:sz w:val="24"/>
          <w:szCs w:val="24"/>
        </w:rPr>
        <w:t xml:space="preserve"> </w:t>
      </w:r>
      <w:r w:rsidRPr="00607434">
        <w:rPr>
          <w:sz w:val="24"/>
          <w:szCs w:val="24"/>
        </w:rPr>
        <w:t>al</w:t>
      </w:r>
      <w:r w:rsidR="00763933" w:rsidRPr="00CD60ED">
        <w:rPr>
          <w:sz w:val="24"/>
          <w:szCs w:val="24"/>
        </w:rPr>
        <w:t xml:space="preserve"> </w:t>
      </w:r>
      <w:r w:rsidRPr="00607434">
        <w:rPr>
          <w:sz w:val="24"/>
          <w:szCs w:val="24"/>
        </w:rPr>
        <w:t>CONASSIF</w:t>
      </w:r>
      <w:r w:rsidR="00763933" w:rsidRPr="00CD60ED">
        <w:rPr>
          <w:sz w:val="24"/>
          <w:szCs w:val="24"/>
        </w:rPr>
        <w:t xml:space="preserve"> </w:t>
      </w:r>
      <w:r w:rsidRPr="00607434">
        <w:rPr>
          <w:sz w:val="24"/>
          <w:szCs w:val="24"/>
        </w:rPr>
        <w:t>como un órgano colegiado de dirección superior, cuyo fin sería el dotar de</w:t>
      </w:r>
      <w:r w:rsidR="00763933" w:rsidRPr="00CD60ED">
        <w:rPr>
          <w:sz w:val="24"/>
          <w:szCs w:val="24"/>
        </w:rPr>
        <w:t xml:space="preserve"> </w:t>
      </w:r>
      <w:r w:rsidRPr="00607434">
        <w:rPr>
          <w:sz w:val="24"/>
          <w:szCs w:val="24"/>
        </w:rPr>
        <w:t>uniformidad e integración a las actividades de regulación y supervisión del sistema financiero costarricense.</w:t>
      </w:r>
      <w:r w:rsidR="00763933" w:rsidRPr="00CD60ED">
        <w:rPr>
          <w:sz w:val="24"/>
          <w:szCs w:val="24"/>
        </w:rPr>
        <w:t xml:space="preserve">  </w:t>
      </w:r>
      <w:r w:rsidRPr="00607434">
        <w:rPr>
          <w:sz w:val="24"/>
          <w:szCs w:val="24"/>
        </w:rPr>
        <w:t>De esta forma, se unificaron en un solo cuerpo colegiado las competencias que antes tenían cada uno de los consejos directivos de los órganos supervisores.</w:t>
      </w:r>
    </w:p>
    <w:p w14:paraId="7E30FFA4" w14:textId="77777777" w:rsidR="00607434" w:rsidRPr="00607434" w:rsidRDefault="00607434" w:rsidP="00607434">
      <w:pPr>
        <w:pStyle w:val="Prrafodelista"/>
        <w:autoSpaceDE w:val="0"/>
        <w:autoSpaceDN w:val="0"/>
        <w:adjustRightInd w:val="0"/>
        <w:ind w:left="360"/>
        <w:contextualSpacing/>
        <w:jc w:val="both"/>
      </w:pPr>
    </w:p>
    <w:p w14:paraId="38CC38BB" w14:textId="76617037"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B.</w:t>
      </w:r>
      <w:r w:rsidRPr="00607434">
        <w:rPr>
          <w:sz w:val="24"/>
          <w:szCs w:val="24"/>
        </w:rPr>
        <w:tab/>
        <w:t>La Ley 7732 definió la labor directiva del CONASSIF sobre la Superintendencia General de Entidades Financieras (SUGEF), la Superintendencia General de Valores (SUGEVAL) y la Superintendencia de Pensiones (SUPEN).</w:t>
      </w:r>
      <w:r w:rsidR="00763933" w:rsidRPr="00CD60ED">
        <w:rPr>
          <w:sz w:val="24"/>
          <w:szCs w:val="24"/>
        </w:rPr>
        <w:t xml:space="preserve">  </w:t>
      </w:r>
      <w:r w:rsidRPr="00607434">
        <w:rPr>
          <w:sz w:val="24"/>
          <w:szCs w:val="24"/>
        </w:rPr>
        <w:t xml:space="preserve">Posteriormente, con la promulgación de la </w:t>
      </w:r>
      <w:r w:rsidRPr="00607434">
        <w:rPr>
          <w:i/>
          <w:iCs/>
          <w:sz w:val="24"/>
          <w:szCs w:val="24"/>
        </w:rPr>
        <w:t>Ley Reguladora del Mercado de Seguros</w:t>
      </w:r>
      <w:r w:rsidRPr="00607434">
        <w:rPr>
          <w:sz w:val="24"/>
          <w:szCs w:val="24"/>
        </w:rPr>
        <w:t xml:space="preserve">, Ley 8653, artículo 28, se crea la Superintendencia General de Seguros (SUGESE), como un nuevo miembro del sistema de supervisión financiera y se le atribuye al CONASSIF la dirección de esta nueva entidad. </w:t>
      </w:r>
    </w:p>
    <w:p w14:paraId="0DA9250B" w14:textId="77777777" w:rsidR="00607434" w:rsidRPr="00607434" w:rsidRDefault="00607434" w:rsidP="00607434">
      <w:pPr>
        <w:autoSpaceDE w:val="0"/>
        <w:autoSpaceDN w:val="0"/>
        <w:adjustRightInd w:val="0"/>
        <w:contextualSpacing/>
        <w:jc w:val="both"/>
        <w:rPr>
          <w:sz w:val="24"/>
          <w:szCs w:val="24"/>
        </w:rPr>
      </w:pPr>
    </w:p>
    <w:p w14:paraId="2CFED8EF" w14:textId="67F429DF"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C.</w:t>
      </w:r>
      <w:r w:rsidRPr="00607434">
        <w:rPr>
          <w:sz w:val="24"/>
          <w:szCs w:val="24"/>
        </w:rPr>
        <w:tab/>
        <w:t xml:space="preserve">La correcta identificación de los reglamentos emitidos por el CONASSIF permite a las superintendencias y a los participantes del sistema financiero nacional dar trazabilidad a las normas vigentes y sus diferentes versiones en el tiempo, encontrar los documentos de forma rápida y evitar o minimizar la incidencia de errores al momento de realizar referencias concretas a disposiciones específicas. Esta práctica es una de las recomendaciones contenidas en las normas INTE/ISO 9001:2015 como parte de los Sistemas de Gestión de Calidad. Actualmente, dos de las superintendencias del sistema financiero utilizan un esquema de codificación de normativa, por lo que se considera razonable que su uso sea extendido y estandarizado a las normas que se han emitido y que se emitan a futuro por las otras superintendencias.  Adicionalmente, se estima adecuado </w:t>
      </w:r>
      <w:r w:rsidRPr="00607434">
        <w:rPr>
          <w:sz w:val="24"/>
          <w:szCs w:val="24"/>
        </w:rPr>
        <w:lastRenderedPageBreak/>
        <w:t>que la normativa de alcance transversal, es decir, aquella que afecta a los supervisados de dos o más superintendencias, se pueda identificar en forma diferente a la normativa de aplicación a un sector supervisado por una superintendencia en forma individual.</w:t>
      </w:r>
    </w:p>
    <w:p w14:paraId="47D51CAB" w14:textId="77777777" w:rsidR="00607434" w:rsidRPr="00607434" w:rsidRDefault="00607434" w:rsidP="00607434">
      <w:pPr>
        <w:pStyle w:val="Prrafodelista"/>
        <w:autoSpaceDE w:val="0"/>
        <w:autoSpaceDN w:val="0"/>
        <w:adjustRightInd w:val="0"/>
        <w:ind w:left="360"/>
        <w:contextualSpacing/>
        <w:jc w:val="both"/>
      </w:pPr>
    </w:p>
    <w:p w14:paraId="55B9AFC6" w14:textId="54238B85"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D.</w:t>
      </w:r>
      <w:r w:rsidRPr="00607434">
        <w:rPr>
          <w:sz w:val="24"/>
          <w:szCs w:val="24"/>
        </w:rPr>
        <w:tab/>
        <w:t xml:space="preserve">La codificación que se propone no modifica el fondo, el alcance, la vigencia ni las disposiciones transitorias de los reglamentos emitidos por el CONASSIF indicados en este acuerdo. </w:t>
      </w:r>
    </w:p>
    <w:p w14:paraId="4F992F19" w14:textId="77777777" w:rsidR="00607434" w:rsidRPr="00607434" w:rsidRDefault="00607434" w:rsidP="00607434">
      <w:pPr>
        <w:pStyle w:val="Prrafodelista"/>
        <w:autoSpaceDE w:val="0"/>
        <w:autoSpaceDN w:val="0"/>
        <w:adjustRightInd w:val="0"/>
        <w:ind w:left="360"/>
        <w:contextualSpacing/>
        <w:jc w:val="both"/>
      </w:pPr>
    </w:p>
    <w:p w14:paraId="42B0A8B3" w14:textId="13F1016D"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E.</w:t>
      </w:r>
      <w:r w:rsidRPr="00607434">
        <w:rPr>
          <w:sz w:val="24"/>
          <w:szCs w:val="24"/>
        </w:rPr>
        <w:tab/>
        <w:t>En concordancia con uno de los pilares estratégicos que tiene este Consejo, “</w:t>
      </w:r>
      <w:r w:rsidRPr="00607434">
        <w:rPr>
          <w:i/>
          <w:iCs/>
          <w:sz w:val="24"/>
          <w:szCs w:val="24"/>
        </w:rPr>
        <w:t>Coordinación: Fomentar el trabajo conjunto entre los Órganos de Desconcentración Máxima y el Banco Central de Costa Rica con el fin de uniformar y ordenar, hasta donde sea posible, sus políticas de regulación y supervisión”</w:t>
      </w:r>
      <w:r w:rsidRPr="00607434">
        <w:rPr>
          <w:sz w:val="24"/>
          <w:szCs w:val="24"/>
        </w:rPr>
        <w:t>, y con el fin de homologar la nomenclatura de las normativas utilizadas por cada una de las superintendencias, se ha considerado prudente realizar una migración de una nomenclatura específica para la nueva normativa transversal que emita este Consejo y modificar la ya existente.</w:t>
      </w:r>
    </w:p>
    <w:p w14:paraId="0E44B3F8" w14:textId="77777777" w:rsidR="00607434" w:rsidRPr="00607434" w:rsidRDefault="00607434" w:rsidP="00607434">
      <w:pPr>
        <w:autoSpaceDE w:val="0"/>
        <w:autoSpaceDN w:val="0"/>
        <w:adjustRightInd w:val="0"/>
        <w:contextualSpacing/>
        <w:jc w:val="both"/>
        <w:rPr>
          <w:sz w:val="24"/>
          <w:szCs w:val="24"/>
        </w:rPr>
      </w:pPr>
    </w:p>
    <w:p w14:paraId="7CB8FBDE" w14:textId="623242A2" w:rsidR="00607434" w:rsidRPr="00607434" w:rsidRDefault="00607434" w:rsidP="00607434">
      <w:pPr>
        <w:contextualSpacing/>
        <w:rPr>
          <w:b/>
          <w:bCs/>
          <w:sz w:val="24"/>
          <w:szCs w:val="24"/>
        </w:rPr>
      </w:pPr>
      <w:r w:rsidRPr="00607434">
        <w:rPr>
          <w:b/>
          <w:bCs/>
          <w:sz w:val="24"/>
          <w:szCs w:val="24"/>
        </w:rPr>
        <w:t>dispuso en firme:</w:t>
      </w:r>
    </w:p>
    <w:p w14:paraId="5FA37E7D" w14:textId="77777777" w:rsidR="00607434" w:rsidRPr="00607434" w:rsidRDefault="00607434" w:rsidP="00607434">
      <w:pPr>
        <w:contextualSpacing/>
        <w:rPr>
          <w:sz w:val="24"/>
          <w:szCs w:val="24"/>
        </w:rPr>
      </w:pPr>
    </w:p>
    <w:p w14:paraId="1E387195" w14:textId="573384BB"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1.</w:t>
      </w:r>
      <w:r w:rsidRPr="00607434">
        <w:rPr>
          <w:sz w:val="24"/>
          <w:szCs w:val="24"/>
        </w:rPr>
        <w:tab/>
        <w:t xml:space="preserve">Que la nomenclatura que se utilizará para identificar la normativa de alcance transversal, considerando que ésta sea aplicable a entidades supervisadas por dos o más de las superintendencias del sistema financiero nacional, será identificada de la siguiente manera: </w:t>
      </w:r>
    </w:p>
    <w:p w14:paraId="766A1161" w14:textId="77777777" w:rsidR="00607434" w:rsidRPr="00607434" w:rsidRDefault="00607434" w:rsidP="00607434">
      <w:pPr>
        <w:autoSpaceDE w:val="0"/>
        <w:autoSpaceDN w:val="0"/>
        <w:adjustRightInd w:val="0"/>
        <w:contextualSpacing/>
        <w:jc w:val="both"/>
        <w:rPr>
          <w:sz w:val="24"/>
          <w:szCs w:val="24"/>
        </w:rPr>
      </w:pPr>
    </w:p>
    <w:p w14:paraId="5E29B58A" w14:textId="77777777" w:rsidR="00607434" w:rsidRPr="00607434" w:rsidRDefault="00607434" w:rsidP="00607434">
      <w:pPr>
        <w:autoSpaceDE w:val="0"/>
        <w:autoSpaceDN w:val="0"/>
        <w:adjustRightInd w:val="0"/>
        <w:contextualSpacing/>
        <w:jc w:val="center"/>
        <w:rPr>
          <w:sz w:val="24"/>
          <w:szCs w:val="24"/>
        </w:rPr>
      </w:pPr>
      <w:r w:rsidRPr="00607434">
        <w:rPr>
          <w:noProof/>
          <w:sz w:val="24"/>
          <w:szCs w:val="24"/>
        </w:rPr>
        <w:drawing>
          <wp:inline distT="0" distB="0" distL="0" distR="0" wp14:anchorId="62BC8FE8" wp14:editId="76E99B9B">
            <wp:extent cx="5328760" cy="259207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3332" cy="2604023"/>
                    </a:xfrm>
                    <a:prstGeom prst="rect">
                      <a:avLst/>
                    </a:prstGeom>
                  </pic:spPr>
                </pic:pic>
              </a:graphicData>
            </a:graphic>
          </wp:inline>
        </w:drawing>
      </w:r>
    </w:p>
    <w:p w14:paraId="0126605B" w14:textId="77777777" w:rsidR="00607434" w:rsidRPr="00607434" w:rsidRDefault="00607434" w:rsidP="00607434">
      <w:pPr>
        <w:pStyle w:val="Prrafodelista"/>
        <w:autoSpaceDE w:val="0"/>
        <w:autoSpaceDN w:val="0"/>
        <w:adjustRightInd w:val="0"/>
        <w:contextualSpacing/>
        <w:jc w:val="both"/>
      </w:pPr>
    </w:p>
    <w:p w14:paraId="384B21C8" w14:textId="7E4512F4" w:rsidR="00607434" w:rsidRPr="00607434" w:rsidRDefault="00607434" w:rsidP="00607434">
      <w:pPr>
        <w:autoSpaceDE w:val="0"/>
        <w:autoSpaceDN w:val="0"/>
        <w:adjustRightInd w:val="0"/>
        <w:ind w:left="360" w:hanging="360"/>
        <w:contextualSpacing/>
        <w:jc w:val="both"/>
        <w:rPr>
          <w:sz w:val="24"/>
          <w:szCs w:val="24"/>
        </w:rPr>
      </w:pPr>
      <w:r w:rsidRPr="00607434">
        <w:rPr>
          <w:sz w:val="24"/>
          <w:szCs w:val="24"/>
        </w:rPr>
        <w:t>2.</w:t>
      </w:r>
      <w:r w:rsidRPr="00607434">
        <w:rPr>
          <w:sz w:val="24"/>
          <w:szCs w:val="24"/>
        </w:rPr>
        <w:tab/>
        <w:t>Que las normativas emitidas que son de aplicación por superintendencia se codificaran de acuerdo con lo indicado en el numeral 1 precedente.</w:t>
      </w:r>
    </w:p>
    <w:p w14:paraId="355BBB44" w14:textId="77777777" w:rsidR="00607434" w:rsidRPr="00607434" w:rsidRDefault="00607434" w:rsidP="00607434">
      <w:pPr>
        <w:pStyle w:val="Prrafodelista"/>
        <w:autoSpaceDE w:val="0"/>
        <w:autoSpaceDN w:val="0"/>
        <w:adjustRightInd w:val="0"/>
        <w:ind w:left="360"/>
        <w:contextualSpacing/>
        <w:jc w:val="both"/>
      </w:pPr>
    </w:p>
    <w:p w14:paraId="1B2BFB31" w14:textId="201F5CCA" w:rsidR="00607434" w:rsidRPr="00607434" w:rsidRDefault="00607434" w:rsidP="00607434">
      <w:pPr>
        <w:autoSpaceDE w:val="0"/>
        <w:autoSpaceDN w:val="0"/>
        <w:adjustRightInd w:val="0"/>
        <w:ind w:left="360" w:hanging="360"/>
        <w:contextualSpacing/>
        <w:jc w:val="both"/>
        <w:rPr>
          <w:sz w:val="24"/>
          <w:szCs w:val="24"/>
        </w:rPr>
      </w:pPr>
      <w:r w:rsidRPr="00607434">
        <w:rPr>
          <w:sz w:val="24"/>
          <w:szCs w:val="24"/>
        </w:rPr>
        <w:t>3.</w:t>
      </w:r>
      <w:r w:rsidRPr="00607434">
        <w:rPr>
          <w:sz w:val="24"/>
          <w:szCs w:val="24"/>
        </w:rPr>
        <w:tab/>
        <w:t xml:space="preserve">Que normativas ya emitidas que tienen alcance transversal se codificarán de la siguiente manera: </w:t>
      </w:r>
    </w:p>
    <w:p w14:paraId="01505854" w14:textId="77777777" w:rsidR="00607434" w:rsidRPr="00607434" w:rsidRDefault="00607434" w:rsidP="00607434">
      <w:pPr>
        <w:autoSpaceDE w:val="0"/>
        <w:autoSpaceDN w:val="0"/>
        <w:adjustRightInd w:val="0"/>
        <w:contextualSpacing/>
        <w:jc w:val="both"/>
        <w:rPr>
          <w:sz w:val="24"/>
          <w:szCs w:val="24"/>
        </w:rPr>
      </w:pPr>
    </w:p>
    <w:tbl>
      <w:tblPr>
        <w:tblStyle w:val="Tablaconcuadrcula7concolores"/>
        <w:tblW w:w="9214" w:type="dxa"/>
        <w:tblInd w:w="-5" w:type="dxa"/>
        <w:tblLook w:val="0600" w:firstRow="0" w:lastRow="0" w:firstColumn="0" w:lastColumn="0" w:noHBand="1" w:noVBand="1"/>
      </w:tblPr>
      <w:tblGrid>
        <w:gridCol w:w="426"/>
        <w:gridCol w:w="2126"/>
        <w:gridCol w:w="4252"/>
        <w:gridCol w:w="2410"/>
      </w:tblGrid>
      <w:tr w:rsidR="00607434" w:rsidRPr="00607434" w14:paraId="1E3781D9" w14:textId="77777777" w:rsidTr="00607434">
        <w:trPr>
          <w:trHeight w:val="259"/>
          <w:tblHeader/>
        </w:trPr>
        <w:tc>
          <w:tcPr>
            <w:tcW w:w="426" w:type="dxa"/>
            <w:vAlign w:val="center"/>
            <w:hideMark/>
          </w:tcPr>
          <w:p w14:paraId="0259339C" w14:textId="77777777" w:rsidR="00607434" w:rsidRPr="00607434" w:rsidRDefault="00607434" w:rsidP="00607434">
            <w:pPr>
              <w:autoSpaceDE w:val="0"/>
              <w:autoSpaceDN w:val="0"/>
              <w:adjustRightInd w:val="0"/>
              <w:contextualSpacing/>
              <w:rPr>
                <w:b/>
                <w:bCs/>
                <w:color w:val="auto"/>
                <w:sz w:val="18"/>
                <w:szCs w:val="18"/>
              </w:rPr>
            </w:pPr>
            <w:r w:rsidRPr="00607434">
              <w:rPr>
                <w:b/>
                <w:bCs/>
                <w:color w:val="auto"/>
                <w:sz w:val="18"/>
                <w:szCs w:val="18"/>
              </w:rPr>
              <w:lastRenderedPageBreak/>
              <w:t>#</w:t>
            </w:r>
          </w:p>
        </w:tc>
        <w:tc>
          <w:tcPr>
            <w:tcW w:w="2126" w:type="dxa"/>
            <w:vAlign w:val="center"/>
            <w:hideMark/>
          </w:tcPr>
          <w:p w14:paraId="331D97C7" w14:textId="6069C378" w:rsidR="00607434" w:rsidRPr="00607434" w:rsidRDefault="00607434" w:rsidP="00607434">
            <w:pPr>
              <w:autoSpaceDE w:val="0"/>
              <w:autoSpaceDN w:val="0"/>
              <w:adjustRightInd w:val="0"/>
              <w:contextualSpacing/>
              <w:rPr>
                <w:b/>
                <w:bCs/>
                <w:color w:val="auto"/>
                <w:sz w:val="18"/>
                <w:szCs w:val="18"/>
              </w:rPr>
            </w:pPr>
            <w:r w:rsidRPr="00607434">
              <w:rPr>
                <w:b/>
                <w:bCs/>
                <w:color w:val="auto"/>
                <w:sz w:val="18"/>
                <w:szCs w:val="18"/>
              </w:rPr>
              <w:t>Código Anterior</w:t>
            </w:r>
          </w:p>
        </w:tc>
        <w:tc>
          <w:tcPr>
            <w:tcW w:w="4252" w:type="dxa"/>
            <w:vAlign w:val="center"/>
            <w:hideMark/>
          </w:tcPr>
          <w:p w14:paraId="115483CC" w14:textId="1EEEAFC8" w:rsidR="00607434" w:rsidRPr="00607434" w:rsidRDefault="00607434" w:rsidP="00607434">
            <w:pPr>
              <w:autoSpaceDE w:val="0"/>
              <w:autoSpaceDN w:val="0"/>
              <w:adjustRightInd w:val="0"/>
              <w:contextualSpacing/>
              <w:jc w:val="center"/>
              <w:rPr>
                <w:b/>
                <w:bCs/>
                <w:color w:val="auto"/>
                <w:sz w:val="18"/>
                <w:szCs w:val="18"/>
              </w:rPr>
            </w:pPr>
            <w:r w:rsidRPr="00607434">
              <w:rPr>
                <w:b/>
                <w:bCs/>
                <w:color w:val="auto"/>
                <w:sz w:val="18"/>
                <w:szCs w:val="18"/>
              </w:rPr>
              <w:t>Nombre del Reglamento</w:t>
            </w:r>
          </w:p>
        </w:tc>
        <w:tc>
          <w:tcPr>
            <w:tcW w:w="2410" w:type="dxa"/>
            <w:vAlign w:val="center"/>
            <w:hideMark/>
          </w:tcPr>
          <w:p w14:paraId="7250F3C6" w14:textId="77777777" w:rsidR="00607434" w:rsidRPr="00607434" w:rsidRDefault="00607434" w:rsidP="00607434">
            <w:pPr>
              <w:autoSpaceDE w:val="0"/>
              <w:autoSpaceDN w:val="0"/>
              <w:adjustRightInd w:val="0"/>
              <w:contextualSpacing/>
              <w:jc w:val="center"/>
              <w:rPr>
                <w:b/>
                <w:bCs/>
                <w:color w:val="auto"/>
                <w:sz w:val="18"/>
                <w:szCs w:val="18"/>
              </w:rPr>
            </w:pPr>
            <w:r w:rsidRPr="00607434">
              <w:rPr>
                <w:b/>
                <w:bCs/>
                <w:color w:val="auto"/>
                <w:sz w:val="18"/>
                <w:szCs w:val="18"/>
              </w:rPr>
              <w:t>Código</w:t>
            </w:r>
          </w:p>
          <w:p w14:paraId="26A4E024" w14:textId="77777777" w:rsidR="00607434" w:rsidRPr="00607434" w:rsidRDefault="00607434" w:rsidP="00607434">
            <w:pPr>
              <w:autoSpaceDE w:val="0"/>
              <w:autoSpaceDN w:val="0"/>
              <w:adjustRightInd w:val="0"/>
              <w:contextualSpacing/>
              <w:jc w:val="center"/>
              <w:rPr>
                <w:b/>
                <w:bCs/>
                <w:color w:val="auto"/>
                <w:sz w:val="18"/>
                <w:szCs w:val="18"/>
              </w:rPr>
            </w:pPr>
            <w:r w:rsidRPr="00607434">
              <w:rPr>
                <w:b/>
                <w:bCs/>
                <w:color w:val="auto"/>
                <w:sz w:val="18"/>
                <w:szCs w:val="18"/>
              </w:rPr>
              <w:t>Nuevo</w:t>
            </w:r>
          </w:p>
        </w:tc>
      </w:tr>
      <w:tr w:rsidR="00607434" w:rsidRPr="00607434" w14:paraId="234B40DE" w14:textId="77777777" w:rsidTr="00607434">
        <w:trPr>
          <w:trHeight w:val="508"/>
        </w:trPr>
        <w:tc>
          <w:tcPr>
            <w:tcW w:w="426" w:type="dxa"/>
            <w:vAlign w:val="center"/>
            <w:hideMark/>
          </w:tcPr>
          <w:p w14:paraId="527D2138"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1</w:t>
            </w:r>
          </w:p>
        </w:tc>
        <w:tc>
          <w:tcPr>
            <w:tcW w:w="2126" w:type="dxa"/>
            <w:vAlign w:val="center"/>
            <w:hideMark/>
          </w:tcPr>
          <w:p w14:paraId="257054CF" w14:textId="24F08C22"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SUGEF 32-10</w:t>
            </w:r>
          </w:p>
        </w:tc>
        <w:tc>
          <w:tcPr>
            <w:tcW w:w="4252" w:type="dxa"/>
            <w:vAlign w:val="center"/>
            <w:hideMark/>
          </w:tcPr>
          <w:p w14:paraId="61725F84" w14:textId="3B7362C5"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General de auditores externos</w:t>
            </w:r>
          </w:p>
        </w:tc>
        <w:tc>
          <w:tcPr>
            <w:tcW w:w="2410" w:type="dxa"/>
            <w:vAlign w:val="center"/>
            <w:hideMark/>
          </w:tcPr>
          <w:p w14:paraId="7BC72E61" w14:textId="381C32F2"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1-10</w:t>
            </w:r>
          </w:p>
        </w:tc>
      </w:tr>
      <w:tr w:rsidR="00607434" w:rsidRPr="00607434" w14:paraId="09435295" w14:textId="77777777" w:rsidTr="00607434">
        <w:trPr>
          <w:trHeight w:val="508"/>
        </w:trPr>
        <w:tc>
          <w:tcPr>
            <w:tcW w:w="426" w:type="dxa"/>
            <w:vAlign w:val="center"/>
            <w:hideMark/>
          </w:tcPr>
          <w:p w14:paraId="1904416B"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2</w:t>
            </w:r>
          </w:p>
        </w:tc>
        <w:tc>
          <w:tcPr>
            <w:tcW w:w="2126" w:type="dxa"/>
            <w:vAlign w:val="center"/>
            <w:hideMark/>
          </w:tcPr>
          <w:p w14:paraId="534E6542" w14:textId="599E6CEF"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SUGEF 25-11</w:t>
            </w:r>
          </w:p>
        </w:tc>
        <w:tc>
          <w:tcPr>
            <w:tcW w:w="4252" w:type="dxa"/>
            <w:vAlign w:val="center"/>
            <w:hideMark/>
          </w:tcPr>
          <w:p w14:paraId="018F8872" w14:textId="4A6E46D8"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para regular la participación de los sujetos fiscalizados en el financiamiento del presupuesto de las superintendencias.</w:t>
            </w:r>
          </w:p>
        </w:tc>
        <w:tc>
          <w:tcPr>
            <w:tcW w:w="2410" w:type="dxa"/>
            <w:vAlign w:val="center"/>
            <w:hideMark/>
          </w:tcPr>
          <w:p w14:paraId="7A722D5D" w14:textId="0A92E149"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2-11</w:t>
            </w:r>
          </w:p>
        </w:tc>
      </w:tr>
      <w:tr w:rsidR="00607434" w:rsidRPr="00607434" w14:paraId="69BA2D72" w14:textId="77777777" w:rsidTr="00607434">
        <w:trPr>
          <w:trHeight w:val="508"/>
        </w:trPr>
        <w:tc>
          <w:tcPr>
            <w:tcW w:w="426" w:type="dxa"/>
            <w:vAlign w:val="center"/>
            <w:hideMark/>
          </w:tcPr>
          <w:p w14:paraId="76C3DEA4"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3</w:t>
            </w:r>
          </w:p>
        </w:tc>
        <w:tc>
          <w:tcPr>
            <w:tcW w:w="2126" w:type="dxa"/>
            <w:vAlign w:val="center"/>
            <w:hideMark/>
          </w:tcPr>
          <w:p w14:paraId="5341227A" w14:textId="1402B4EF"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SUGEF 21-16</w:t>
            </w:r>
          </w:p>
        </w:tc>
        <w:tc>
          <w:tcPr>
            <w:tcW w:w="4252" w:type="dxa"/>
            <w:vAlign w:val="center"/>
            <w:hideMark/>
          </w:tcPr>
          <w:p w14:paraId="04D4878D" w14:textId="7643ADC2"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sobre Suficiencia Patrimonial de Grupos y Conglomerados Financieros</w:t>
            </w:r>
          </w:p>
        </w:tc>
        <w:tc>
          <w:tcPr>
            <w:tcW w:w="2410" w:type="dxa"/>
            <w:vAlign w:val="center"/>
            <w:hideMark/>
          </w:tcPr>
          <w:p w14:paraId="6860EEE8" w14:textId="5A3BF900"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3-16</w:t>
            </w:r>
          </w:p>
        </w:tc>
      </w:tr>
      <w:tr w:rsidR="00607434" w:rsidRPr="00607434" w14:paraId="08836FD3" w14:textId="77777777" w:rsidTr="00607434">
        <w:trPr>
          <w:trHeight w:val="508"/>
        </w:trPr>
        <w:tc>
          <w:tcPr>
            <w:tcW w:w="426" w:type="dxa"/>
            <w:vAlign w:val="center"/>
          </w:tcPr>
          <w:p w14:paraId="266E4F39"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4</w:t>
            </w:r>
          </w:p>
        </w:tc>
        <w:tc>
          <w:tcPr>
            <w:tcW w:w="2126" w:type="dxa"/>
            <w:vAlign w:val="center"/>
          </w:tcPr>
          <w:p w14:paraId="70E20B41" w14:textId="76ED9CAC"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SUGEF 16-16</w:t>
            </w:r>
          </w:p>
        </w:tc>
        <w:tc>
          <w:tcPr>
            <w:tcW w:w="4252" w:type="dxa"/>
            <w:vAlign w:val="center"/>
          </w:tcPr>
          <w:p w14:paraId="2AD6BCBE" w14:textId="662B309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de Gobierno Corporativo</w:t>
            </w:r>
          </w:p>
        </w:tc>
        <w:tc>
          <w:tcPr>
            <w:tcW w:w="2410" w:type="dxa"/>
            <w:vAlign w:val="center"/>
          </w:tcPr>
          <w:p w14:paraId="0B138FE1" w14:textId="2FA2AE13"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4-16</w:t>
            </w:r>
          </w:p>
        </w:tc>
      </w:tr>
      <w:tr w:rsidR="00607434" w:rsidRPr="00607434" w14:paraId="2E6BFCF0" w14:textId="77777777" w:rsidTr="00607434">
        <w:trPr>
          <w:trHeight w:val="508"/>
        </w:trPr>
        <w:tc>
          <w:tcPr>
            <w:tcW w:w="426" w:type="dxa"/>
            <w:vAlign w:val="center"/>
            <w:hideMark/>
          </w:tcPr>
          <w:p w14:paraId="3565B743"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5</w:t>
            </w:r>
          </w:p>
        </w:tc>
        <w:tc>
          <w:tcPr>
            <w:tcW w:w="2126" w:type="dxa"/>
            <w:vAlign w:val="center"/>
            <w:hideMark/>
          </w:tcPr>
          <w:p w14:paraId="1A34555E" w14:textId="3120F403"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SUGEF 14-17</w:t>
            </w:r>
          </w:p>
        </w:tc>
        <w:tc>
          <w:tcPr>
            <w:tcW w:w="4252" w:type="dxa"/>
            <w:vAlign w:val="center"/>
            <w:hideMark/>
          </w:tcPr>
          <w:p w14:paraId="64BBAA53" w14:textId="0934B881"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general de gestión de la tecnología de información</w:t>
            </w:r>
          </w:p>
        </w:tc>
        <w:tc>
          <w:tcPr>
            <w:tcW w:w="2410" w:type="dxa"/>
            <w:vAlign w:val="center"/>
            <w:hideMark/>
          </w:tcPr>
          <w:p w14:paraId="0E820E51" w14:textId="66984AC1"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5-17</w:t>
            </w:r>
          </w:p>
        </w:tc>
      </w:tr>
      <w:tr w:rsidR="00607434" w:rsidRPr="00607434" w14:paraId="390442BB" w14:textId="77777777" w:rsidTr="00607434">
        <w:trPr>
          <w:trHeight w:val="508"/>
        </w:trPr>
        <w:tc>
          <w:tcPr>
            <w:tcW w:w="426" w:type="dxa"/>
            <w:vAlign w:val="center"/>
          </w:tcPr>
          <w:p w14:paraId="7FD34FE9"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6</w:t>
            </w:r>
          </w:p>
        </w:tc>
        <w:tc>
          <w:tcPr>
            <w:tcW w:w="2126" w:type="dxa"/>
            <w:vAlign w:val="center"/>
          </w:tcPr>
          <w:p w14:paraId="68AD9DD8" w14:textId="0EE20D49"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SUGEF 30-18</w:t>
            </w:r>
          </w:p>
        </w:tc>
        <w:tc>
          <w:tcPr>
            <w:tcW w:w="4252" w:type="dxa"/>
            <w:vAlign w:val="center"/>
          </w:tcPr>
          <w:p w14:paraId="678D5F94" w14:textId="56F2CA8D"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de Información Financiera</w:t>
            </w:r>
          </w:p>
        </w:tc>
        <w:tc>
          <w:tcPr>
            <w:tcW w:w="2410" w:type="dxa"/>
            <w:vAlign w:val="center"/>
          </w:tcPr>
          <w:p w14:paraId="35989120" w14:textId="5CB5026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CONASSIF 6-18</w:t>
            </w:r>
          </w:p>
        </w:tc>
      </w:tr>
      <w:tr w:rsidR="00607434" w:rsidRPr="00607434" w14:paraId="213138B7" w14:textId="77777777" w:rsidTr="00607434">
        <w:trPr>
          <w:trHeight w:val="508"/>
        </w:trPr>
        <w:tc>
          <w:tcPr>
            <w:tcW w:w="426" w:type="dxa"/>
            <w:vAlign w:val="center"/>
            <w:hideMark/>
          </w:tcPr>
          <w:p w14:paraId="7380CC0F"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7</w:t>
            </w:r>
          </w:p>
        </w:tc>
        <w:tc>
          <w:tcPr>
            <w:tcW w:w="2126" w:type="dxa"/>
            <w:vAlign w:val="center"/>
            <w:hideMark/>
          </w:tcPr>
          <w:p w14:paraId="2F214A45" w14:textId="7BAFEB4A"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4252" w:type="dxa"/>
            <w:hideMark/>
          </w:tcPr>
          <w:p w14:paraId="2B2B056C" w14:textId="06C23D50"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sobre el procedimiento de intercambio de información entre las Superintendencias del Sistema Financiero Nacional</w:t>
            </w:r>
          </w:p>
        </w:tc>
        <w:tc>
          <w:tcPr>
            <w:tcW w:w="2410" w:type="dxa"/>
            <w:vAlign w:val="center"/>
            <w:hideMark/>
          </w:tcPr>
          <w:p w14:paraId="2C7BB73C" w14:textId="7EFABCB1"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7-19</w:t>
            </w:r>
          </w:p>
        </w:tc>
      </w:tr>
      <w:tr w:rsidR="00607434" w:rsidRPr="00607434" w14:paraId="728F262B" w14:textId="77777777" w:rsidTr="00607434">
        <w:trPr>
          <w:trHeight w:val="508"/>
        </w:trPr>
        <w:tc>
          <w:tcPr>
            <w:tcW w:w="426" w:type="dxa"/>
            <w:vAlign w:val="center"/>
          </w:tcPr>
          <w:p w14:paraId="785975A1"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8</w:t>
            </w:r>
          </w:p>
        </w:tc>
        <w:tc>
          <w:tcPr>
            <w:tcW w:w="2126" w:type="dxa"/>
            <w:vAlign w:val="center"/>
          </w:tcPr>
          <w:p w14:paraId="1B02A7B0" w14:textId="6B6DE092"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4252" w:type="dxa"/>
          </w:tcPr>
          <w:p w14:paraId="4FE7CAB3" w14:textId="64BF2211"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para la consulta de los proyectos de presupuesto de las superintendencias financieras y el Conassif</w:t>
            </w:r>
          </w:p>
        </w:tc>
        <w:tc>
          <w:tcPr>
            <w:tcW w:w="2410" w:type="dxa"/>
            <w:vAlign w:val="center"/>
          </w:tcPr>
          <w:p w14:paraId="0A5824F9" w14:textId="2545C37A"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8-20</w:t>
            </w:r>
          </w:p>
        </w:tc>
      </w:tr>
      <w:tr w:rsidR="00607434" w:rsidRPr="00607434" w14:paraId="1F06B362" w14:textId="77777777" w:rsidTr="00607434">
        <w:trPr>
          <w:trHeight w:val="508"/>
        </w:trPr>
        <w:tc>
          <w:tcPr>
            <w:tcW w:w="426" w:type="dxa"/>
            <w:vAlign w:val="center"/>
          </w:tcPr>
          <w:p w14:paraId="78B824EC"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9</w:t>
            </w:r>
          </w:p>
        </w:tc>
        <w:tc>
          <w:tcPr>
            <w:tcW w:w="2126" w:type="dxa"/>
            <w:vAlign w:val="center"/>
          </w:tcPr>
          <w:p w14:paraId="4B6D61C0" w14:textId="64630406"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SUGEF 41-21</w:t>
            </w:r>
          </w:p>
        </w:tc>
        <w:tc>
          <w:tcPr>
            <w:tcW w:w="4252" w:type="dxa"/>
            <w:vAlign w:val="center"/>
          </w:tcPr>
          <w:p w14:paraId="3E4BF1DE" w14:textId="13A8E47A"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del Régimen de concentraciones del Sistema Financiero Nacional</w:t>
            </w:r>
          </w:p>
        </w:tc>
        <w:tc>
          <w:tcPr>
            <w:tcW w:w="2410" w:type="dxa"/>
            <w:vAlign w:val="center"/>
          </w:tcPr>
          <w:p w14:paraId="028AB9CE" w14:textId="11B3F04D"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9-21</w:t>
            </w:r>
          </w:p>
        </w:tc>
      </w:tr>
      <w:tr w:rsidR="00607434" w:rsidRPr="00607434" w14:paraId="13A3E335" w14:textId="77777777" w:rsidTr="00607434">
        <w:trPr>
          <w:trHeight w:val="508"/>
        </w:trPr>
        <w:tc>
          <w:tcPr>
            <w:tcW w:w="426" w:type="dxa"/>
            <w:vAlign w:val="center"/>
            <w:hideMark/>
          </w:tcPr>
          <w:p w14:paraId="5F1C7C23"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10</w:t>
            </w:r>
          </w:p>
        </w:tc>
        <w:tc>
          <w:tcPr>
            <w:tcW w:w="2126" w:type="dxa"/>
            <w:vAlign w:val="center"/>
            <w:hideMark/>
          </w:tcPr>
          <w:p w14:paraId="62D32AC5" w14:textId="5DA7C176"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4252" w:type="dxa"/>
            <w:vAlign w:val="center"/>
            <w:hideMark/>
          </w:tcPr>
          <w:p w14:paraId="5A1CC286" w14:textId="7AC5C099"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sobre valoración de instrumentos financieros</w:t>
            </w:r>
          </w:p>
        </w:tc>
        <w:tc>
          <w:tcPr>
            <w:tcW w:w="2410" w:type="dxa"/>
            <w:vAlign w:val="center"/>
            <w:hideMark/>
          </w:tcPr>
          <w:p w14:paraId="1C5F6B4B" w14:textId="5EF42285"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10-21</w:t>
            </w:r>
          </w:p>
        </w:tc>
      </w:tr>
      <w:tr w:rsidR="00607434" w:rsidRPr="00607434" w14:paraId="09291307" w14:textId="77777777" w:rsidTr="00607434">
        <w:trPr>
          <w:trHeight w:val="759"/>
        </w:trPr>
        <w:tc>
          <w:tcPr>
            <w:tcW w:w="426" w:type="dxa"/>
            <w:vAlign w:val="center"/>
          </w:tcPr>
          <w:p w14:paraId="11501C42"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11</w:t>
            </w:r>
          </w:p>
        </w:tc>
        <w:tc>
          <w:tcPr>
            <w:tcW w:w="2126" w:type="dxa"/>
            <w:vAlign w:val="center"/>
          </w:tcPr>
          <w:p w14:paraId="4958C5B3" w14:textId="358C8BB6"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SUGEF 35-21</w:t>
            </w:r>
          </w:p>
        </w:tc>
        <w:tc>
          <w:tcPr>
            <w:tcW w:w="4252" w:type="dxa"/>
            <w:vAlign w:val="center"/>
          </w:tcPr>
          <w:p w14:paraId="6DA546EE" w14:textId="1A25E202"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del centro de información conozca a su cliente (CICAC)</w:t>
            </w:r>
          </w:p>
        </w:tc>
        <w:tc>
          <w:tcPr>
            <w:tcW w:w="2410" w:type="dxa"/>
            <w:vAlign w:val="center"/>
          </w:tcPr>
          <w:p w14:paraId="789F0FAB" w14:textId="090C5F73"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11-21</w:t>
            </w:r>
          </w:p>
        </w:tc>
      </w:tr>
      <w:tr w:rsidR="00607434" w:rsidRPr="00607434" w14:paraId="1D059897" w14:textId="77777777" w:rsidTr="00607434">
        <w:trPr>
          <w:trHeight w:val="1009"/>
        </w:trPr>
        <w:tc>
          <w:tcPr>
            <w:tcW w:w="426" w:type="dxa"/>
            <w:vAlign w:val="center"/>
            <w:hideMark/>
          </w:tcPr>
          <w:p w14:paraId="07CBA96C"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12</w:t>
            </w:r>
          </w:p>
        </w:tc>
        <w:tc>
          <w:tcPr>
            <w:tcW w:w="2126" w:type="dxa"/>
            <w:vAlign w:val="center"/>
            <w:hideMark/>
          </w:tcPr>
          <w:p w14:paraId="2B2F385A" w14:textId="56F5C07E"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SUGEF 12-21</w:t>
            </w:r>
          </w:p>
        </w:tc>
        <w:tc>
          <w:tcPr>
            <w:tcW w:w="4252" w:type="dxa"/>
            <w:vAlign w:val="center"/>
            <w:hideMark/>
          </w:tcPr>
          <w:p w14:paraId="4D919D4D" w14:textId="096800CC"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para la prevención del riesgo de legitimación de capitales, financiamiento al terrorismo y financiamiento de la proliferación de armas de destrucción masiva, aplicable a los sujetos obligados por el artículo 14 de la Ley7786</w:t>
            </w:r>
          </w:p>
        </w:tc>
        <w:tc>
          <w:tcPr>
            <w:tcW w:w="2410" w:type="dxa"/>
            <w:vAlign w:val="center"/>
            <w:hideMark/>
          </w:tcPr>
          <w:p w14:paraId="664C6D2F" w14:textId="02381D78"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12-21</w:t>
            </w:r>
          </w:p>
        </w:tc>
      </w:tr>
      <w:tr w:rsidR="00607434" w:rsidRPr="00607434" w14:paraId="5F70D338" w14:textId="77777777" w:rsidTr="00607434">
        <w:trPr>
          <w:trHeight w:val="759"/>
        </w:trPr>
        <w:tc>
          <w:tcPr>
            <w:tcW w:w="426" w:type="dxa"/>
            <w:vAlign w:val="center"/>
          </w:tcPr>
          <w:p w14:paraId="7ABB9DA3" w14:textId="77777777"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13</w:t>
            </w:r>
          </w:p>
        </w:tc>
        <w:tc>
          <w:tcPr>
            <w:tcW w:w="2126" w:type="dxa"/>
            <w:vAlign w:val="center"/>
          </w:tcPr>
          <w:p w14:paraId="0A9B6CAE" w14:textId="52E8CDBA"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4252" w:type="dxa"/>
            <w:vAlign w:val="bottom"/>
          </w:tcPr>
          <w:p w14:paraId="07A5096F" w14:textId="7C166DED"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Reglamento sobre el procedimiento de intercambio de información entre la SUGEF y la SUGEVAL para los efectos del IOSCO-MMOU</w:t>
            </w:r>
          </w:p>
        </w:tc>
        <w:tc>
          <w:tcPr>
            <w:tcW w:w="2410" w:type="dxa"/>
            <w:vAlign w:val="center"/>
          </w:tcPr>
          <w:p w14:paraId="61679FF8" w14:textId="4E4E28FE" w:rsidR="00607434" w:rsidRPr="00607434" w:rsidRDefault="00607434" w:rsidP="00607434">
            <w:pPr>
              <w:autoSpaceDE w:val="0"/>
              <w:autoSpaceDN w:val="0"/>
              <w:adjustRightInd w:val="0"/>
              <w:contextualSpacing/>
              <w:rPr>
                <w:color w:val="auto"/>
                <w:sz w:val="18"/>
                <w:szCs w:val="18"/>
              </w:rPr>
            </w:pPr>
            <w:r w:rsidRPr="00CD60ED">
              <w:rPr>
                <w:color w:val="auto"/>
                <w:sz w:val="18"/>
                <w:szCs w:val="18"/>
              </w:rPr>
              <w:t>Acuerdo CONASSIF 13-21</w:t>
            </w:r>
          </w:p>
        </w:tc>
      </w:tr>
      <w:tr w:rsidR="00607434" w:rsidRPr="00607434" w14:paraId="51D080EC" w14:textId="77777777" w:rsidTr="00607434">
        <w:trPr>
          <w:trHeight w:val="759"/>
        </w:trPr>
        <w:tc>
          <w:tcPr>
            <w:tcW w:w="426" w:type="dxa"/>
            <w:shd w:val="clear" w:color="auto" w:fill="auto"/>
            <w:vAlign w:val="center"/>
          </w:tcPr>
          <w:p w14:paraId="0663FB4A"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14</w:t>
            </w:r>
          </w:p>
        </w:tc>
        <w:tc>
          <w:tcPr>
            <w:tcW w:w="2126" w:type="dxa"/>
            <w:shd w:val="clear" w:color="auto" w:fill="auto"/>
            <w:vAlign w:val="center"/>
          </w:tcPr>
          <w:p w14:paraId="44AC0798" w14:textId="120C35E4"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4252" w:type="dxa"/>
            <w:shd w:val="clear" w:color="auto" w:fill="auto"/>
            <w:vAlign w:val="center"/>
          </w:tcPr>
          <w:p w14:paraId="16AC3786" w14:textId="465DF45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sobre cálculo de estimaciones crediticias</w:t>
            </w:r>
          </w:p>
        </w:tc>
        <w:tc>
          <w:tcPr>
            <w:tcW w:w="2410" w:type="dxa"/>
            <w:shd w:val="clear" w:color="auto" w:fill="auto"/>
            <w:vAlign w:val="center"/>
          </w:tcPr>
          <w:p w14:paraId="67DAD955" w14:textId="1799079D"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CONASSIF 14-21</w:t>
            </w:r>
          </w:p>
        </w:tc>
      </w:tr>
    </w:tbl>
    <w:p w14:paraId="46EEBEEB" w14:textId="77777777" w:rsidR="00607434" w:rsidRPr="00607434" w:rsidRDefault="00607434" w:rsidP="00607434">
      <w:pPr>
        <w:autoSpaceDE w:val="0"/>
        <w:autoSpaceDN w:val="0"/>
        <w:adjustRightInd w:val="0"/>
        <w:contextualSpacing/>
        <w:jc w:val="both"/>
        <w:rPr>
          <w:sz w:val="24"/>
          <w:szCs w:val="24"/>
        </w:rPr>
      </w:pPr>
    </w:p>
    <w:p w14:paraId="501F0766" w14:textId="59F58F5C"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4.</w:t>
      </w:r>
      <w:r w:rsidRPr="00607434">
        <w:rPr>
          <w:sz w:val="24"/>
          <w:szCs w:val="24"/>
        </w:rPr>
        <w:tab/>
        <w:t xml:space="preserve">Que las normativas que son de aplicación para todas las entidades reguladas por la Superintendencia de Pensiones (SUPEN) y los fondos administrados por </w:t>
      </w:r>
      <w:r w:rsidR="00746E06" w:rsidRPr="00CD60ED">
        <w:rPr>
          <w:sz w:val="24"/>
          <w:szCs w:val="24"/>
        </w:rPr>
        <w:t>é</w:t>
      </w:r>
      <w:r w:rsidRPr="00CD60ED">
        <w:rPr>
          <w:sz w:val="24"/>
          <w:szCs w:val="24"/>
        </w:rPr>
        <w:t>stas</w:t>
      </w:r>
      <w:r w:rsidR="00A54D3D" w:rsidRPr="00CD60ED">
        <w:rPr>
          <w:sz w:val="24"/>
          <w:szCs w:val="24"/>
        </w:rPr>
        <w:t>,</w:t>
      </w:r>
      <w:r w:rsidRPr="00607434">
        <w:rPr>
          <w:sz w:val="24"/>
          <w:szCs w:val="24"/>
        </w:rPr>
        <w:t xml:space="preserve"> según se definen en el artículo 2, de la </w:t>
      </w:r>
      <w:r w:rsidRPr="00607434">
        <w:rPr>
          <w:i/>
          <w:iCs/>
          <w:sz w:val="24"/>
          <w:szCs w:val="24"/>
        </w:rPr>
        <w:t>Ley de protección al Trabajador,</w:t>
      </w:r>
      <w:r w:rsidRPr="00607434">
        <w:rPr>
          <w:sz w:val="24"/>
          <w:szCs w:val="24"/>
        </w:rPr>
        <w:t xml:space="preserve"> Ley 7983, se codificarán de la siguiente manera:</w:t>
      </w:r>
    </w:p>
    <w:p w14:paraId="516BBF93" w14:textId="77777777" w:rsidR="00607434" w:rsidRPr="00607434" w:rsidRDefault="00607434" w:rsidP="00607434">
      <w:pPr>
        <w:pStyle w:val="Prrafodelista"/>
        <w:autoSpaceDE w:val="0"/>
        <w:autoSpaceDN w:val="0"/>
        <w:adjustRightInd w:val="0"/>
        <w:contextualSpacing/>
        <w:jc w:val="both"/>
      </w:pPr>
    </w:p>
    <w:tbl>
      <w:tblPr>
        <w:tblStyle w:val="Tablaconcuadrcula7concolores"/>
        <w:tblW w:w="9214" w:type="dxa"/>
        <w:tblInd w:w="279" w:type="dxa"/>
        <w:tblLook w:val="0600" w:firstRow="0" w:lastRow="0" w:firstColumn="0" w:lastColumn="0" w:noHBand="1" w:noVBand="1"/>
      </w:tblPr>
      <w:tblGrid>
        <w:gridCol w:w="316"/>
        <w:gridCol w:w="1527"/>
        <w:gridCol w:w="5386"/>
        <w:gridCol w:w="1985"/>
      </w:tblGrid>
      <w:tr w:rsidR="00607434" w:rsidRPr="00607434" w14:paraId="66ABCBED" w14:textId="77777777" w:rsidTr="00A4167D">
        <w:trPr>
          <w:trHeight w:val="259"/>
          <w:tblHeader/>
        </w:trPr>
        <w:tc>
          <w:tcPr>
            <w:tcW w:w="316" w:type="dxa"/>
            <w:hideMark/>
          </w:tcPr>
          <w:p w14:paraId="2DA15D58" w14:textId="77777777" w:rsidR="00607434" w:rsidRPr="00CD60ED" w:rsidRDefault="00607434" w:rsidP="00607434">
            <w:pPr>
              <w:autoSpaceDE w:val="0"/>
              <w:autoSpaceDN w:val="0"/>
              <w:adjustRightInd w:val="0"/>
              <w:contextualSpacing/>
              <w:jc w:val="center"/>
              <w:rPr>
                <w:color w:val="auto"/>
                <w:sz w:val="18"/>
                <w:szCs w:val="18"/>
              </w:rPr>
            </w:pPr>
            <w:r w:rsidRPr="00CD60ED">
              <w:rPr>
                <w:b/>
                <w:color w:val="auto"/>
                <w:sz w:val="18"/>
                <w:szCs w:val="18"/>
              </w:rPr>
              <w:lastRenderedPageBreak/>
              <w:t>#</w:t>
            </w:r>
          </w:p>
        </w:tc>
        <w:tc>
          <w:tcPr>
            <w:tcW w:w="1527" w:type="dxa"/>
            <w:hideMark/>
          </w:tcPr>
          <w:p w14:paraId="2286C4E0" w14:textId="08CFEAE5" w:rsidR="00607434" w:rsidRPr="00CD60ED" w:rsidRDefault="00607434" w:rsidP="00607434">
            <w:pPr>
              <w:autoSpaceDE w:val="0"/>
              <w:autoSpaceDN w:val="0"/>
              <w:adjustRightInd w:val="0"/>
              <w:contextualSpacing/>
              <w:rPr>
                <w:color w:val="auto"/>
                <w:sz w:val="18"/>
                <w:szCs w:val="18"/>
              </w:rPr>
            </w:pPr>
            <w:r w:rsidRPr="00CD60ED">
              <w:rPr>
                <w:b/>
                <w:color w:val="auto"/>
                <w:sz w:val="18"/>
                <w:szCs w:val="18"/>
              </w:rPr>
              <w:t>Código Anterior</w:t>
            </w:r>
          </w:p>
        </w:tc>
        <w:tc>
          <w:tcPr>
            <w:tcW w:w="5386" w:type="dxa"/>
            <w:hideMark/>
          </w:tcPr>
          <w:p w14:paraId="273B78ED" w14:textId="7601C93B" w:rsidR="00607434" w:rsidRPr="00CD60ED" w:rsidRDefault="00607434" w:rsidP="00607434">
            <w:pPr>
              <w:autoSpaceDE w:val="0"/>
              <w:autoSpaceDN w:val="0"/>
              <w:adjustRightInd w:val="0"/>
              <w:contextualSpacing/>
              <w:jc w:val="center"/>
              <w:rPr>
                <w:color w:val="auto"/>
                <w:sz w:val="18"/>
                <w:szCs w:val="18"/>
              </w:rPr>
            </w:pPr>
            <w:r w:rsidRPr="00CD60ED">
              <w:rPr>
                <w:b/>
                <w:color w:val="auto"/>
                <w:sz w:val="18"/>
                <w:szCs w:val="18"/>
              </w:rPr>
              <w:t>Nombre Reglamento</w:t>
            </w:r>
          </w:p>
        </w:tc>
        <w:tc>
          <w:tcPr>
            <w:tcW w:w="1985" w:type="dxa"/>
            <w:hideMark/>
          </w:tcPr>
          <w:p w14:paraId="2F9AF4BD" w14:textId="1ED01624" w:rsidR="00607434" w:rsidRPr="00CD60ED" w:rsidRDefault="00607434" w:rsidP="00607434">
            <w:pPr>
              <w:autoSpaceDE w:val="0"/>
              <w:autoSpaceDN w:val="0"/>
              <w:adjustRightInd w:val="0"/>
              <w:contextualSpacing/>
              <w:jc w:val="center"/>
              <w:rPr>
                <w:color w:val="auto"/>
                <w:sz w:val="18"/>
                <w:szCs w:val="18"/>
              </w:rPr>
            </w:pPr>
            <w:r w:rsidRPr="00CD60ED">
              <w:rPr>
                <w:b/>
                <w:color w:val="auto"/>
                <w:sz w:val="18"/>
                <w:szCs w:val="18"/>
              </w:rPr>
              <w:t>Código Nuevo</w:t>
            </w:r>
          </w:p>
        </w:tc>
      </w:tr>
      <w:tr w:rsidR="00607434" w:rsidRPr="00607434" w14:paraId="0E2C0A37" w14:textId="77777777" w:rsidTr="00A4167D">
        <w:trPr>
          <w:trHeight w:val="259"/>
          <w:tblHeader/>
        </w:trPr>
        <w:tc>
          <w:tcPr>
            <w:tcW w:w="316" w:type="dxa"/>
            <w:hideMark/>
          </w:tcPr>
          <w:p w14:paraId="67BB380F"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w:t>
            </w:r>
          </w:p>
        </w:tc>
        <w:tc>
          <w:tcPr>
            <w:tcW w:w="1527" w:type="dxa"/>
            <w:vAlign w:val="center"/>
          </w:tcPr>
          <w:p w14:paraId="1462860C" w14:textId="5DCFA124" w:rsidR="00607434" w:rsidRPr="00CD60ED" w:rsidRDefault="00607434" w:rsidP="00607434">
            <w:pPr>
              <w:autoSpaceDE w:val="0"/>
              <w:autoSpaceDN w:val="0"/>
              <w:adjustRightInd w:val="0"/>
              <w:contextualSpacing/>
              <w:rPr>
                <w:color w:val="auto"/>
                <w:sz w:val="18"/>
                <w:szCs w:val="18"/>
              </w:rPr>
            </w:pPr>
            <w:r w:rsidRPr="00607434">
              <w:rPr>
                <w:color w:val="auto"/>
                <w:sz w:val="18"/>
                <w:szCs w:val="18"/>
              </w:rPr>
              <w:t>[No tiene]</w:t>
            </w:r>
          </w:p>
        </w:tc>
        <w:tc>
          <w:tcPr>
            <w:tcW w:w="5386" w:type="dxa"/>
            <w:vAlign w:val="center"/>
          </w:tcPr>
          <w:p w14:paraId="22BD31BC" w14:textId="60930A46"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sobre la apertura y funcionamiento de las entidades autorizadas y el funcionamiento de los fondos de pensiones, capitalización laboral y ahorro voluntario previstos en la Ley de Protección al Trabajador</w:t>
            </w:r>
          </w:p>
        </w:tc>
        <w:tc>
          <w:tcPr>
            <w:tcW w:w="1985" w:type="dxa"/>
            <w:vAlign w:val="center"/>
          </w:tcPr>
          <w:p w14:paraId="4F29B5B0" w14:textId="70F620BB" w:rsidR="00607434" w:rsidRPr="00607434" w:rsidRDefault="00607434" w:rsidP="00607434">
            <w:pPr>
              <w:autoSpaceDE w:val="0"/>
              <w:autoSpaceDN w:val="0"/>
              <w:adjustRightInd w:val="0"/>
              <w:contextualSpacing/>
              <w:rPr>
                <w:color w:val="auto"/>
                <w:sz w:val="18"/>
                <w:szCs w:val="18"/>
              </w:rPr>
            </w:pPr>
            <w:r w:rsidRPr="00607434">
              <w:rPr>
                <w:color w:val="auto"/>
                <w:sz w:val="18"/>
                <w:szCs w:val="18"/>
              </w:rPr>
              <w:t>Acuerdo SUPEN 1-01</w:t>
            </w:r>
          </w:p>
        </w:tc>
      </w:tr>
      <w:tr w:rsidR="00607434" w:rsidRPr="00607434" w14:paraId="04C919F7" w14:textId="77777777" w:rsidTr="00A4167D">
        <w:trPr>
          <w:trHeight w:val="259"/>
          <w:tblHeader/>
        </w:trPr>
        <w:tc>
          <w:tcPr>
            <w:tcW w:w="316" w:type="dxa"/>
          </w:tcPr>
          <w:p w14:paraId="4A909B53"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2</w:t>
            </w:r>
          </w:p>
        </w:tc>
        <w:tc>
          <w:tcPr>
            <w:tcW w:w="1527" w:type="dxa"/>
            <w:vAlign w:val="center"/>
          </w:tcPr>
          <w:p w14:paraId="28A39399" w14:textId="520AD485" w:rsidR="00607434" w:rsidRPr="00CD60ED" w:rsidRDefault="00607434" w:rsidP="00607434">
            <w:pPr>
              <w:autoSpaceDE w:val="0"/>
              <w:autoSpaceDN w:val="0"/>
              <w:adjustRightInd w:val="0"/>
              <w:contextualSpacing/>
              <w:rPr>
                <w:color w:val="auto"/>
                <w:sz w:val="18"/>
                <w:szCs w:val="18"/>
              </w:rPr>
            </w:pPr>
            <w:r w:rsidRPr="00607434">
              <w:rPr>
                <w:color w:val="auto"/>
                <w:sz w:val="18"/>
                <w:szCs w:val="18"/>
              </w:rPr>
              <w:t>[No tiene]</w:t>
            </w:r>
          </w:p>
        </w:tc>
        <w:tc>
          <w:tcPr>
            <w:tcW w:w="5386" w:type="dxa"/>
            <w:vAlign w:val="center"/>
          </w:tcPr>
          <w:p w14:paraId="26622342" w14:textId="765842D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de Tablas de Mortalidad</w:t>
            </w:r>
          </w:p>
        </w:tc>
        <w:tc>
          <w:tcPr>
            <w:tcW w:w="1985" w:type="dxa"/>
            <w:vAlign w:val="center"/>
          </w:tcPr>
          <w:p w14:paraId="1DEF6A2E" w14:textId="0E55CDE0" w:rsidR="00607434" w:rsidRPr="00607434" w:rsidRDefault="00607434" w:rsidP="00607434">
            <w:pPr>
              <w:autoSpaceDE w:val="0"/>
              <w:autoSpaceDN w:val="0"/>
              <w:adjustRightInd w:val="0"/>
              <w:contextualSpacing/>
              <w:rPr>
                <w:color w:val="auto"/>
                <w:sz w:val="18"/>
                <w:szCs w:val="18"/>
              </w:rPr>
            </w:pPr>
            <w:r w:rsidRPr="00607434">
              <w:rPr>
                <w:color w:val="auto"/>
                <w:sz w:val="18"/>
                <w:szCs w:val="18"/>
              </w:rPr>
              <w:t>Acuerdo SUPEN 2-08</w:t>
            </w:r>
          </w:p>
        </w:tc>
      </w:tr>
      <w:tr w:rsidR="00607434" w:rsidRPr="00607434" w14:paraId="1E31AABA" w14:textId="77777777" w:rsidTr="00A4167D">
        <w:trPr>
          <w:trHeight w:val="259"/>
          <w:tblHeader/>
        </w:trPr>
        <w:tc>
          <w:tcPr>
            <w:tcW w:w="316" w:type="dxa"/>
          </w:tcPr>
          <w:p w14:paraId="31F5D580"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3</w:t>
            </w:r>
          </w:p>
        </w:tc>
        <w:tc>
          <w:tcPr>
            <w:tcW w:w="1527" w:type="dxa"/>
            <w:vAlign w:val="center"/>
          </w:tcPr>
          <w:p w14:paraId="3F0C4EE4" w14:textId="67993913" w:rsidR="00607434" w:rsidRPr="00CD60ED" w:rsidRDefault="00607434" w:rsidP="00607434">
            <w:pPr>
              <w:autoSpaceDE w:val="0"/>
              <w:autoSpaceDN w:val="0"/>
              <w:adjustRightInd w:val="0"/>
              <w:contextualSpacing/>
              <w:rPr>
                <w:color w:val="auto"/>
                <w:sz w:val="18"/>
                <w:szCs w:val="18"/>
              </w:rPr>
            </w:pPr>
            <w:r w:rsidRPr="00607434">
              <w:rPr>
                <w:color w:val="auto"/>
                <w:sz w:val="18"/>
                <w:szCs w:val="18"/>
              </w:rPr>
              <w:t>[No tiene]</w:t>
            </w:r>
          </w:p>
        </w:tc>
        <w:tc>
          <w:tcPr>
            <w:tcW w:w="5386" w:type="dxa"/>
            <w:vAlign w:val="center"/>
          </w:tcPr>
          <w:p w14:paraId="563B4DEE" w14:textId="1EA43E1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de Beneficios del Régimen de Capitalización Individual</w:t>
            </w:r>
          </w:p>
        </w:tc>
        <w:tc>
          <w:tcPr>
            <w:tcW w:w="1985" w:type="dxa"/>
            <w:vAlign w:val="center"/>
          </w:tcPr>
          <w:p w14:paraId="3C2979C7" w14:textId="096DB56F" w:rsidR="00607434" w:rsidRPr="00607434" w:rsidRDefault="00607434" w:rsidP="00607434">
            <w:pPr>
              <w:autoSpaceDE w:val="0"/>
              <w:autoSpaceDN w:val="0"/>
              <w:adjustRightInd w:val="0"/>
              <w:contextualSpacing/>
              <w:rPr>
                <w:color w:val="auto"/>
                <w:sz w:val="18"/>
                <w:szCs w:val="18"/>
              </w:rPr>
            </w:pPr>
            <w:r w:rsidRPr="00607434">
              <w:rPr>
                <w:color w:val="auto"/>
                <w:sz w:val="18"/>
                <w:szCs w:val="18"/>
              </w:rPr>
              <w:t>Acuerdo SUPEN 3-10</w:t>
            </w:r>
          </w:p>
        </w:tc>
      </w:tr>
      <w:tr w:rsidR="00607434" w:rsidRPr="00607434" w14:paraId="0C26F766" w14:textId="77777777" w:rsidTr="00A4167D">
        <w:trPr>
          <w:trHeight w:val="259"/>
          <w:tblHeader/>
        </w:trPr>
        <w:tc>
          <w:tcPr>
            <w:tcW w:w="316" w:type="dxa"/>
          </w:tcPr>
          <w:p w14:paraId="726F5678"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4</w:t>
            </w:r>
          </w:p>
        </w:tc>
        <w:tc>
          <w:tcPr>
            <w:tcW w:w="1527" w:type="dxa"/>
            <w:vAlign w:val="center"/>
          </w:tcPr>
          <w:p w14:paraId="34551C93" w14:textId="4171B9EB" w:rsidR="00607434" w:rsidRPr="00CD60ED" w:rsidRDefault="00607434" w:rsidP="00607434">
            <w:pPr>
              <w:autoSpaceDE w:val="0"/>
              <w:autoSpaceDN w:val="0"/>
              <w:adjustRightInd w:val="0"/>
              <w:contextualSpacing/>
              <w:rPr>
                <w:color w:val="auto"/>
                <w:sz w:val="18"/>
                <w:szCs w:val="18"/>
              </w:rPr>
            </w:pPr>
            <w:r w:rsidRPr="00607434">
              <w:rPr>
                <w:color w:val="auto"/>
                <w:sz w:val="18"/>
                <w:szCs w:val="18"/>
              </w:rPr>
              <w:t>[No tiene]</w:t>
            </w:r>
          </w:p>
        </w:tc>
        <w:tc>
          <w:tcPr>
            <w:tcW w:w="5386" w:type="dxa"/>
            <w:vAlign w:val="center"/>
          </w:tcPr>
          <w:p w14:paraId="40360B4B" w14:textId="7DED4BE8"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actuarial</w:t>
            </w:r>
          </w:p>
        </w:tc>
        <w:tc>
          <w:tcPr>
            <w:tcW w:w="1985" w:type="dxa"/>
            <w:vAlign w:val="center"/>
          </w:tcPr>
          <w:p w14:paraId="745C188E" w14:textId="770C06A7" w:rsidR="00607434" w:rsidRPr="00607434" w:rsidRDefault="00607434" w:rsidP="00607434">
            <w:pPr>
              <w:autoSpaceDE w:val="0"/>
              <w:autoSpaceDN w:val="0"/>
              <w:adjustRightInd w:val="0"/>
              <w:contextualSpacing/>
              <w:rPr>
                <w:color w:val="auto"/>
                <w:sz w:val="18"/>
                <w:szCs w:val="18"/>
              </w:rPr>
            </w:pPr>
            <w:r w:rsidRPr="00607434">
              <w:rPr>
                <w:color w:val="auto"/>
                <w:sz w:val="18"/>
                <w:szCs w:val="18"/>
              </w:rPr>
              <w:t>Acuerdo SUPEN 4-16</w:t>
            </w:r>
          </w:p>
        </w:tc>
      </w:tr>
      <w:tr w:rsidR="00607434" w:rsidRPr="00607434" w14:paraId="407EACDC" w14:textId="77777777" w:rsidTr="00A4167D">
        <w:trPr>
          <w:trHeight w:val="259"/>
          <w:tblHeader/>
        </w:trPr>
        <w:tc>
          <w:tcPr>
            <w:tcW w:w="316" w:type="dxa"/>
          </w:tcPr>
          <w:p w14:paraId="4DEDC89D"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5</w:t>
            </w:r>
          </w:p>
        </w:tc>
        <w:tc>
          <w:tcPr>
            <w:tcW w:w="1527" w:type="dxa"/>
            <w:vAlign w:val="center"/>
          </w:tcPr>
          <w:p w14:paraId="36361098" w14:textId="6CD2E296" w:rsidR="00607434" w:rsidRPr="00CD60ED" w:rsidRDefault="00607434" w:rsidP="00607434">
            <w:pPr>
              <w:autoSpaceDE w:val="0"/>
              <w:autoSpaceDN w:val="0"/>
              <w:adjustRightInd w:val="0"/>
              <w:contextualSpacing/>
              <w:rPr>
                <w:color w:val="auto"/>
                <w:sz w:val="18"/>
                <w:szCs w:val="18"/>
              </w:rPr>
            </w:pPr>
            <w:r w:rsidRPr="00607434">
              <w:rPr>
                <w:color w:val="auto"/>
                <w:sz w:val="18"/>
                <w:szCs w:val="18"/>
              </w:rPr>
              <w:t>[No tiene]</w:t>
            </w:r>
          </w:p>
        </w:tc>
        <w:tc>
          <w:tcPr>
            <w:tcW w:w="5386" w:type="dxa"/>
            <w:vAlign w:val="center"/>
          </w:tcPr>
          <w:p w14:paraId="53275DBA" w14:textId="53C9D756"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de Riesgos</w:t>
            </w:r>
          </w:p>
        </w:tc>
        <w:tc>
          <w:tcPr>
            <w:tcW w:w="1985" w:type="dxa"/>
            <w:vAlign w:val="center"/>
          </w:tcPr>
          <w:p w14:paraId="28437F7D" w14:textId="520C8733" w:rsidR="00607434" w:rsidRPr="00607434" w:rsidRDefault="00607434" w:rsidP="00607434">
            <w:pPr>
              <w:autoSpaceDE w:val="0"/>
              <w:autoSpaceDN w:val="0"/>
              <w:adjustRightInd w:val="0"/>
              <w:contextualSpacing/>
              <w:rPr>
                <w:color w:val="auto"/>
                <w:sz w:val="18"/>
                <w:szCs w:val="18"/>
              </w:rPr>
            </w:pPr>
            <w:r w:rsidRPr="00607434">
              <w:rPr>
                <w:color w:val="auto"/>
                <w:sz w:val="18"/>
                <w:szCs w:val="18"/>
              </w:rPr>
              <w:t>Acuerdo SUPEN 5-17</w:t>
            </w:r>
          </w:p>
        </w:tc>
      </w:tr>
      <w:tr w:rsidR="00607434" w:rsidRPr="00607434" w14:paraId="20C3CE7B" w14:textId="77777777" w:rsidTr="00A4167D">
        <w:trPr>
          <w:trHeight w:val="259"/>
          <w:tblHeader/>
        </w:trPr>
        <w:tc>
          <w:tcPr>
            <w:tcW w:w="316" w:type="dxa"/>
          </w:tcPr>
          <w:p w14:paraId="56BA5494"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6</w:t>
            </w:r>
          </w:p>
        </w:tc>
        <w:tc>
          <w:tcPr>
            <w:tcW w:w="1527" w:type="dxa"/>
            <w:vAlign w:val="center"/>
          </w:tcPr>
          <w:p w14:paraId="454B97BE" w14:textId="60F28A9F" w:rsidR="00607434" w:rsidRPr="00CD60ED" w:rsidRDefault="00607434" w:rsidP="00607434">
            <w:pPr>
              <w:autoSpaceDE w:val="0"/>
              <w:autoSpaceDN w:val="0"/>
              <w:adjustRightInd w:val="0"/>
              <w:contextualSpacing/>
              <w:rPr>
                <w:color w:val="auto"/>
                <w:sz w:val="18"/>
                <w:szCs w:val="18"/>
              </w:rPr>
            </w:pPr>
            <w:r w:rsidRPr="00607434">
              <w:rPr>
                <w:color w:val="auto"/>
                <w:sz w:val="18"/>
                <w:szCs w:val="18"/>
              </w:rPr>
              <w:t>[No tiene]</w:t>
            </w:r>
          </w:p>
        </w:tc>
        <w:tc>
          <w:tcPr>
            <w:tcW w:w="5386" w:type="dxa"/>
            <w:vAlign w:val="center"/>
          </w:tcPr>
          <w:p w14:paraId="00093609" w14:textId="4992CBA8"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de Gestión de Activos</w:t>
            </w:r>
          </w:p>
        </w:tc>
        <w:tc>
          <w:tcPr>
            <w:tcW w:w="1985" w:type="dxa"/>
            <w:vAlign w:val="center"/>
          </w:tcPr>
          <w:p w14:paraId="7C6A9ADB" w14:textId="211DBFF2" w:rsidR="00607434" w:rsidRPr="00607434" w:rsidRDefault="00607434" w:rsidP="00607434">
            <w:pPr>
              <w:autoSpaceDE w:val="0"/>
              <w:autoSpaceDN w:val="0"/>
              <w:adjustRightInd w:val="0"/>
              <w:contextualSpacing/>
              <w:rPr>
                <w:color w:val="auto"/>
                <w:sz w:val="18"/>
                <w:szCs w:val="18"/>
              </w:rPr>
            </w:pPr>
            <w:r w:rsidRPr="00607434">
              <w:rPr>
                <w:color w:val="auto"/>
                <w:sz w:val="18"/>
                <w:szCs w:val="18"/>
              </w:rPr>
              <w:t>Acuerdo SUPEN 6-18</w:t>
            </w:r>
          </w:p>
        </w:tc>
      </w:tr>
      <w:tr w:rsidR="00607434" w:rsidRPr="00607434" w14:paraId="3C9F900D" w14:textId="77777777" w:rsidTr="00A4167D">
        <w:trPr>
          <w:trHeight w:val="259"/>
          <w:tblHeader/>
        </w:trPr>
        <w:tc>
          <w:tcPr>
            <w:tcW w:w="316" w:type="dxa"/>
          </w:tcPr>
          <w:p w14:paraId="12D4FCCF"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7</w:t>
            </w:r>
          </w:p>
        </w:tc>
        <w:tc>
          <w:tcPr>
            <w:tcW w:w="1527" w:type="dxa"/>
            <w:vAlign w:val="center"/>
          </w:tcPr>
          <w:p w14:paraId="0FF3468D" w14:textId="387779CB" w:rsidR="00607434" w:rsidRPr="00CD60ED" w:rsidRDefault="00607434" w:rsidP="00607434">
            <w:pPr>
              <w:autoSpaceDE w:val="0"/>
              <w:autoSpaceDN w:val="0"/>
              <w:adjustRightInd w:val="0"/>
              <w:contextualSpacing/>
              <w:rPr>
                <w:color w:val="auto"/>
                <w:sz w:val="18"/>
                <w:szCs w:val="18"/>
              </w:rPr>
            </w:pPr>
            <w:r w:rsidRPr="00607434">
              <w:rPr>
                <w:color w:val="auto"/>
                <w:sz w:val="18"/>
                <w:szCs w:val="18"/>
              </w:rPr>
              <w:t>[No tiene]</w:t>
            </w:r>
          </w:p>
        </w:tc>
        <w:tc>
          <w:tcPr>
            <w:tcW w:w="5386" w:type="dxa"/>
            <w:vAlign w:val="center"/>
          </w:tcPr>
          <w:p w14:paraId="02E64F4A" w14:textId="14874F1C"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 xml:space="preserve">Reglamento de aprobaciones y autorizaciones </w:t>
            </w:r>
          </w:p>
        </w:tc>
        <w:tc>
          <w:tcPr>
            <w:tcW w:w="1985" w:type="dxa"/>
            <w:vAlign w:val="center"/>
          </w:tcPr>
          <w:p w14:paraId="587C88F9" w14:textId="52C1EFD2" w:rsidR="00607434" w:rsidRPr="00607434" w:rsidRDefault="00607434" w:rsidP="00607434">
            <w:pPr>
              <w:autoSpaceDE w:val="0"/>
              <w:autoSpaceDN w:val="0"/>
              <w:adjustRightInd w:val="0"/>
              <w:contextualSpacing/>
              <w:rPr>
                <w:color w:val="auto"/>
                <w:sz w:val="18"/>
                <w:szCs w:val="18"/>
              </w:rPr>
            </w:pPr>
            <w:r w:rsidRPr="00607434">
              <w:rPr>
                <w:color w:val="auto"/>
                <w:sz w:val="18"/>
                <w:szCs w:val="18"/>
              </w:rPr>
              <w:t>Acuerdo SUPEN 7-20</w:t>
            </w:r>
          </w:p>
        </w:tc>
      </w:tr>
    </w:tbl>
    <w:p w14:paraId="50661A2A" w14:textId="77777777" w:rsidR="00607434" w:rsidRPr="00607434" w:rsidRDefault="00607434" w:rsidP="00607434">
      <w:pPr>
        <w:pStyle w:val="Prrafodelista"/>
        <w:autoSpaceDE w:val="0"/>
        <w:autoSpaceDN w:val="0"/>
        <w:adjustRightInd w:val="0"/>
        <w:ind w:left="360"/>
        <w:contextualSpacing/>
        <w:jc w:val="both"/>
      </w:pPr>
    </w:p>
    <w:p w14:paraId="7806961F" w14:textId="48616E54"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5.</w:t>
      </w:r>
      <w:r w:rsidRPr="00607434">
        <w:rPr>
          <w:sz w:val="24"/>
          <w:szCs w:val="24"/>
        </w:rPr>
        <w:tab/>
        <w:t>Que las normativas que son de aplicación para todas las entidades reguladas por la Superintendencia General de Valores (SUGEVAL) se codificarán de la siguiente manera:</w:t>
      </w:r>
    </w:p>
    <w:p w14:paraId="2FBA0D70" w14:textId="77777777" w:rsidR="00607434" w:rsidRPr="00607434" w:rsidRDefault="00607434" w:rsidP="00607434">
      <w:pPr>
        <w:pStyle w:val="Prrafodelista"/>
        <w:autoSpaceDE w:val="0"/>
        <w:autoSpaceDN w:val="0"/>
        <w:adjustRightInd w:val="0"/>
        <w:contextualSpacing/>
        <w:jc w:val="both"/>
      </w:pPr>
    </w:p>
    <w:tbl>
      <w:tblPr>
        <w:tblStyle w:val="Tablaconcuadrcula7concolores"/>
        <w:tblW w:w="9356" w:type="dxa"/>
        <w:tblInd w:w="137" w:type="dxa"/>
        <w:tblLook w:val="0600" w:firstRow="0" w:lastRow="0" w:firstColumn="0" w:lastColumn="0" w:noHBand="1" w:noVBand="1"/>
      </w:tblPr>
      <w:tblGrid>
        <w:gridCol w:w="416"/>
        <w:gridCol w:w="1569"/>
        <w:gridCol w:w="5103"/>
        <w:gridCol w:w="2268"/>
      </w:tblGrid>
      <w:tr w:rsidR="00607434" w:rsidRPr="00607434" w14:paraId="71CC2F0C" w14:textId="77777777" w:rsidTr="00607434">
        <w:trPr>
          <w:trHeight w:val="260"/>
          <w:tblHeader/>
        </w:trPr>
        <w:tc>
          <w:tcPr>
            <w:tcW w:w="416" w:type="dxa"/>
            <w:vAlign w:val="center"/>
            <w:hideMark/>
          </w:tcPr>
          <w:p w14:paraId="0FA24401" w14:textId="77777777" w:rsidR="00607434" w:rsidRPr="00CD60ED" w:rsidRDefault="00607434" w:rsidP="00607434">
            <w:pPr>
              <w:autoSpaceDE w:val="0"/>
              <w:autoSpaceDN w:val="0"/>
              <w:adjustRightInd w:val="0"/>
              <w:contextualSpacing/>
              <w:rPr>
                <w:color w:val="auto"/>
                <w:sz w:val="18"/>
                <w:szCs w:val="18"/>
              </w:rPr>
            </w:pPr>
            <w:r w:rsidRPr="00CD60ED">
              <w:rPr>
                <w:b/>
                <w:color w:val="auto"/>
                <w:sz w:val="18"/>
                <w:szCs w:val="18"/>
              </w:rPr>
              <w:t>#</w:t>
            </w:r>
          </w:p>
        </w:tc>
        <w:tc>
          <w:tcPr>
            <w:tcW w:w="1569" w:type="dxa"/>
            <w:vAlign w:val="center"/>
            <w:hideMark/>
          </w:tcPr>
          <w:p w14:paraId="5F178452" w14:textId="0EB3427A" w:rsidR="00607434" w:rsidRPr="00CD60ED" w:rsidRDefault="00607434" w:rsidP="00607434">
            <w:pPr>
              <w:autoSpaceDE w:val="0"/>
              <w:autoSpaceDN w:val="0"/>
              <w:adjustRightInd w:val="0"/>
              <w:contextualSpacing/>
              <w:rPr>
                <w:color w:val="auto"/>
                <w:sz w:val="18"/>
                <w:szCs w:val="18"/>
              </w:rPr>
            </w:pPr>
            <w:r w:rsidRPr="00CD60ED">
              <w:rPr>
                <w:b/>
                <w:color w:val="auto"/>
                <w:sz w:val="18"/>
                <w:szCs w:val="18"/>
              </w:rPr>
              <w:t>Código Anterior</w:t>
            </w:r>
          </w:p>
        </w:tc>
        <w:tc>
          <w:tcPr>
            <w:tcW w:w="5103" w:type="dxa"/>
            <w:vAlign w:val="center"/>
            <w:hideMark/>
          </w:tcPr>
          <w:p w14:paraId="243C3334" w14:textId="0CF61111" w:rsidR="00607434" w:rsidRPr="00CD60ED" w:rsidRDefault="00607434" w:rsidP="00607434">
            <w:pPr>
              <w:autoSpaceDE w:val="0"/>
              <w:autoSpaceDN w:val="0"/>
              <w:adjustRightInd w:val="0"/>
              <w:contextualSpacing/>
              <w:rPr>
                <w:color w:val="auto"/>
                <w:sz w:val="18"/>
                <w:szCs w:val="18"/>
              </w:rPr>
            </w:pPr>
            <w:r w:rsidRPr="00CD60ED">
              <w:rPr>
                <w:b/>
                <w:color w:val="auto"/>
                <w:sz w:val="18"/>
                <w:szCs w:val="18"/>
              </w:rPr>
              <w:t>Nombre del Reglamento</w:t>
            </w:r>
          </w:p>
        </w:tc>
        <w:tc>
          <w:tcPr>
            <w:tcW w:w="2268" w:type="dxa"/>
            <w:vAlign w:val="center"/>
            <w:hideMark/>
          </w:tcPr>
          <w:p w14:paraId="34851D92" w14:textId="3B6801B8" w:rsidR="00607434" w:rsidRPr="00CD60ED" w:rsidRDefault="00607434" w:rsidP="00607434">
            <w:pPr>
              <w:autoSpaceDE w:val="0"/>
              <w:autoSpaceDN w:val="0"/>
              <w:adjustRightInd w:val="0"/>
              <w:contextualSpacing/>
              <w:rPr>
                <w:color w:val="auto"/>
                <w:sz w:val="18"/>
                <w:szCs w:val="18"/>
              </w:rPr>
            </w:pPr>
            <w:r w:rsidRPr="00CD60ED">
              <w:rPr>
                <w:b/>
                <w:color w:val="auto"/>
                <w:sz w:val="18"/>
                <w:szCs w:val="18"/>
              </w:rPr>
              <w:t>Código Nuevo</w:t>
            </w:r>
          </w:p>
        </w:tc>
      </w:tr>
      <w:tr w:rsidR="00607434" w:rsidRPr="00607434" w14:paraId="5E316050" w14:textId="77777777" w:rsidTr="00607434">
        <w:trPr>
          <w:trHeight w:val="260"/>
        </w:trPr>
        <w:tc>
          <w:tcPr>
            <w:tcW w:w="416" w:type="dxa"/>
            <w:vAlign w:val="bottom"/>
          </w:tcPr>
          <w:p w14:paraId="4135C45D"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w:t>
            </w:r>
          </w:p>
        </w:tc>
        <w:tc>
          <w:tcPr>
            <w:tcW w:w="1569" w:type="dxa"/>
            <w:vAlign w:val="center"/>
          </w:tcPr>
          <w:p w14:paraId="46BAF7EE" w14:textId="2280F010"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0DC63EA1" w14:textId="084DF0E1"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Normativa sobre actividades autorizadas a los puestos de bolsa</w:t>
            </w:r>
          </w:p>
        </w:tc>
        <w:tc>
          <w:tcPr>
            <w:tcW w:w="2268" w:type="dxa"/>
            <w:vAlign w:val="center"/>
          </w:tcPr>
          <w:p w14:paraId="095D5FD0" w14:textId="012D9008"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1-99</w:t>
            </w:r>
          </w:p>
        </w:tc>
      </w:tr>
      <w:tr w:rsidR="00607434" w:rsidRPr="00607434" w14:paraId="00AF0D6B" w14:textId="77777777" w:rsidTr="00607434">
        <w:trPr>
          <w:trHeight w:val="260"/>
        </w:trPr>
        <w:tc>
          <w:tcPr>
            <w:tcW w:w="416" w:type="dxa"/>
            <w:vAlign w:val="bottom"/>
          </w:tcPr>
          <w:p w14:paraId="2748CE48"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2</w:t>
            </w:r>
          </w:p>
        </w:tc>
        <w:tc>
          <w:tcPr>
            <w:tcW w:w="1569" w:type="dxa"/>
            <w:vAlign w:val="center"/>
          </w:tcPr>
          <w:p w14:paraId="2F1E653E" w14:textId="7D4B775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3C1EC122" w14:textId="099F253F"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sobre el suministro de información periódica hechos relevantes y otras obligaciones de información</w:t>
            </w:r>
          </w:p>
        </w:tc>
        <w:tc>
          <w:tcPr>
            <w:tcW w:w="2268" w:type="dxa"/>
            <w:vAlign w:val="center"/>
          </w:tcPr>
          <w:p w14:paraId="02E40561" w14:textId="08146ED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2-99</w:t>
            </w:r>
          </w:p>
        </w:tc>
      </w:tr>
      <w:tr w:rsidR="00607434" w:rsidRPr="00607434" w14:paraId="44D3EBFC" w14:textId="77777777" w:rsidTr="00607434">
        <w:trPr>
          <w:trHeight w:val="260"/>
        </w:trPr>
        <w:tc>
          <w:tcPr>
            <w:tcW w:w="416" w:type="dxa"/>
            <w:vAlign w:val="bottom"/>
          </w:tcPr>
          <w:p w14:paraId="56A277AC"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3</w:t>
            </w:r>
          </w:p>
        </w:tc>
        <w:tc>
          <w:tcPr>
            <w:tcW w:w="1569" w:type="dxa"/>
            <w:vAlign w:val="center"/>
          </w:tcPr>
          <w:p w14:paraId="31D5DBFE" w14:textId="102D0DEB"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74657630" w14:textId="11599E2C"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Disposiciones complementarias al reglamento para la regulación y supervisión de los fondos administrados mediante contratos de fideicomiso que sean similares a los fondos de inversión, planes de capitalización o fondos de pensión</w:t>
            </w:r>
          </w:p>
        </w:tc>
        <w:tc>
          <w:tcPr>
            <w:tcW w:w="2268" w:type="dxa"/>
            <w:vAlign w:val="center"/>
          </w:tcPr>
          <w:p w14:paraId="7374043F" w14:textId="77FF986F"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3-00</w:t>
            </w:r>
          </w:p>
        </w:tc>
      </w:tr>
      <w:tr w:rsidR="00607434" w:rsidRPr="00607434" w14:paraId="49C6D20F" w14:textId="77777777" w:rsidTr="00607434">
        <w:trPr>
          <w:trHeight w:val="260"/>
        </w:trPr>
        <w:tc>
          <w:tcPr>
            <w:tcW w:w="416" w:type="dxa"/>
            <w:vAlign w:val="bottom"/>
          </w:tcPr>
          <w:p w14:paraId="1110E935"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4</w:t>
            </w:r>
          </w:p>
        </w:tc>
        <w:tc>
          <w:tcPr>
            <w:tcW w:w="1569" w:type="dxa"/>
            <w:vAlign w:val="center"/>
          </w:tcPr>
          <w:p w14:paraId="50CF54BE" w14:textId="2B78BA01"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3CF2E998" w14:textId="5FED1532"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para la regulación y supervisión de los fondos administrados mediante contratos de fideicomiso que sean similares a los fondos de inversión, planes de capitalización o fondos de pensión</w:t>
            </w:r>
          </w:p>
        </w:tc>
        <w:tc>
          <w:tcPr>
            <w:tcW w:w="2268" w:type="dxa"/>
            <w:vAlign w:val="center"/>
          </w:tcPr>
          <w:p w14:paraId="4DF84DA0" w14:textId="78184C6F"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4-00</w:t>
            </w:r>
          </w:p>
        </w:tc>
      </w:tr>
      <w:tr w:rsidR="00607434" w:rsidRPr="00607434" w14:paraId="593F4933" w14:textId="77777777" w:rsidTr="00607434">
        <w:trPr>
          <w:trHeight w:val="260"/>
        </w:trPr>
        <w:tc>
          <w:tcPr>
            <w:tcW w:w="416" w:type="dxa"/>
            <w:vAlign w:val="bottom"/>
          </w:tcPr>
          <w:p w14:paraId="6B75689B"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5</w:t>
            </w:r>
          </w:p>
        </w:tc>
        <w:tc>
          <w:tcPr>
            <w:tcW w:w="1569" w:type="dxa"/>
            <w:vAlign w:val="center"/>
          </w:tcPr>
          <w:p w14:paraId="123AF660" w14:textId="478E507B"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7B0A8249" w14:textId="3D8CF56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sobre el Registro Nacional de Valores e Intermediarios</w:t>
            </w:r>
          </w:p>
        </w:tc>
        <w:tc>
          <w:tcPr>
            <w:tcW w:w="2268" w:type="dxa"/>
            <w:vAlign w:val="center"/>
          </w:tcPr>
          <w:p w14:paraId="5D351A50" w14:textId="11832EFB"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5-00</w:t>
            </w:r>
          </w:p>
        </w:tc>
      </w:tr>
      <w:tr w:rsidR="00607434" w:rsidRPr="00607434" w14:paraId="3A5D8C61" w14:textId="77777777" w:rsidTr="00607434">
        <w:trPr>
          <w:trHeight w:val="260"/>
        </w:trPr>
        <w:tc>
          <w:tcPr>
            <w:tcW w:w="416" w:type="dxa"/>
            <w:vAlign w:val="bottom"/>
          </w:tcPr>
          <w:p w14:paraId="6BE81712"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6</w:t>
            </w:r>
          </w:p>
        </w:tc>
        <w:tc>
          <w:tcPr>
            <w:tcW w:w="1569" w:type="dxa"/>
            <w:vAlign w:val="center"/>
          </w:tcPr>
          <w:p w14:paraId="41C9FCCF" w14:textId="61A0D7C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7CF460FF" w14:textId="5693D798" w:rsidR="00607434" w:rsidRPr="00CD60ED" w:rsidRDefault="00607434" w:rsidP="00607434">
            <w:pPr>
              <w:autoSpaceDE w:val="0"/>
              <w:autoSpaceDN w:val="0"/>
              <w:adjustRightInd w:val="0"/>
              <w:contextualSpacing/>
              <w:jc w:val="both"/>
              <w:rPr>
                <w:color w:val="auto"/>
                <w:sz w:val="18"/>
                <w:szCs w:val="18"/>
              </w:rPr>
            </w:pPr>
            <w:r w:rsidRPr="00CD60ED">
              <w:rPr>
                <w:color w:val="auto"/>
                <w:sz w:val="18"/>
                <w:szCs w:val="18"/>
              </w:rPr>
              <w:t>Reglamento sobre el Sistema de Anotación en Cuenta</w:t>
            </w:r>
          </w:p>
        </w:tc>
        <w:tc>
          <w:tcPr>
            <w:tcW w:w="2268" w:type="dxa"/>
            <w:vAlign w:val="center"/>
          </w:tcPr>
          <w:p w14:paraId="463A01A2" w14:textId="0984B044"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6-06</w:t>
            </w:r>
          </w:p>
        </w:tc>
      </w:tr>
      <w:tr w:rsidR="00607434" w:rsidRPr="00607434" w14:paraId="5BD0879B" w14:textId="77777777" w:rsidTr="00607434">
        <w:trPr>
          <w:trHeight w:val="260"/>
        </w:trPr>
        <w:tc>
          <w:tcPr>
            <w:tcW w:w="416" w:type="dxa"/>
            <w:vAlign w:val="bottom"/>
          </w:tcPr>
          <w:p w14:paraId="31DF27A0"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7</w:t>
            </w:r>
          </w:p>
        </w:tc>
        <w:tc>
          <w:tcPr>
            <w:tcW w:w="1569" w:type="dxa"/>
            <w:vAlign w:val="center"/>
          </w:tcPr>
          <w:p w14:paraId="58FFFC6A" w14:textId="15B9ED2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6F835FCC" w14:textId="15574C13" w:rsidR="00607434" w:rsidRPr="00CD60ED" w:rsidRDefault="00607434" w:rsidP="00607434">
            <w:pPr>
              <w:autoSpaceDE w:val="0"/>
              <w:autoSpaceDN w:val="0"/>
              <w:adjustRightInd w:val="0"/>
              <w:contextualSpacing/>
              <w:jc w:val="both"/>
              <w:rPr>
                <w:color w:val="auto"/>
                <w:sz w:val="18"/>
                <w:szCs w:val="18"/>
              </w:rPr>
            </w:pPr>
            <w:r w:rsidRPr="00CD60ED">
              <w:rPr>
                <w:color w:val="auto"/>
                <w:sz w:val="18"/>
                <w:szCs w:val="18"/>
              </w:rPr>
              <w:t>Reglamento sobre Oferta Pública de Valores</w:t>
            </w:r>
          </w:p>
        </w:tc>
        <w:tc>
          <w:tcPr>
            <w:tcW w:w="2268" w:type="dxa"/>
            <w:vAlign w:val="center"/>
          </w:tcPr>
          <w:p w14:paraId="1DFF0787" w14:textId="196259AF"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7-06</w:t>
            </w:r>
          </w:p>
        </w:tc>
      </w:tr>
      <w:tr w:rsidR="00607434" w:rsidRPr="00607434" w14:paraId="7F19438A" w14:textId="77777777" w:rsidTr="00607434">
        <w:trPr>
          <w:trHeight w:val="260"/>
        </w:trPr>
        <w:tc>
          <w:tcPr>
            <w:tcW w:w="416" w:type="dxa"/>
            <w:vAlign w:val="bottom"/>
          </w:tcPr>
          <w:p w14:paraId="69EF1CAC"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8</w:t>
            </w:r>
          </w:p>
        </w:tc>
        <w:tc>
          <w:tcPr>
            <w:tcW w:w="1569" w:type="dxa"/>
            <w:vAlign w:val="center"/>
          </w:tcPr>
          <w:p w14:paraId="152BEABF" w14:textId="2F92E6CD"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50D96951" w14:textId="69DAC579"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General sobre Sociedades Administradoras y Fondos de Inversión</w:t>
            </w:r>
          </w:p>
        </w:tc>
        <w:tc>
          <w:tcPr>
            <w:tcW w:w="2268" w:type="dxa"/>
            <w:vAlign w:val="center"/>
          </w:tcPr>
          <w:p w14:paraId="3FAA30A7" w14:textId="2D443A6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8-09</w:t>
            </w:r>
          </w:p>
        </w:tc>
      </w:tr>
      <w:tr w:rsidR="00607434" w:rsidRPr="00607434" w14:paraId="6F780EBE" w14:textId="77777777" w:rsidTr="00607434">
        <w:trPr>
          <w:trHeight w:val="260"/>
        </w:trPr>
        <w:tc>
          <w:tcPr>
            <w:tcW w:w="416" w:type="dxa"/>
            <w:vAlign w:val="bottom"/>
          </w:tcPr>
          <w:p w14:paraId="07411347"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9</w:t>
            </w:r>
          </w:p>
        </w:tc>
        <w:tc>
          <w:tcPr>
            <w:tcW w:w="1569" w:type="dxa"/>
            <w:vAlign w:val="center"/>
          </w:tcPr>
          <w:p w14:paraId="668D2DEF" w14:textId="3F333209"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51280AEE" w14:textId="4B14F0DC"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sobre calificación de valores y sociedades calificadoras de riesgo</w:t>
            </w:r>
          </w:p>
        </w:tc>
        <w:tc>
          <w:tcPr>
            <w:tcW w:w="2268" w:type="dxa"/>
            <w:vAlign w:val="center"/>
          </w:tcPr>
          <w:p w14:paraId="083835E4" w14:textId="00010539"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9-09</w:t>
            </w:r>
          </w:p>
        </w:tc>
      </w:tr>
      <w:tr w:rsidR="00607434" w:rsidRPr="00607434" w14:paraId="4CDD2FFC" w14:textId="77777777" w:rsidTr="00607434">
        <w:trPr>
          <w:trHeight w:val="260"/>
        </w:trPr>
        <w:tc>
          <w:tcPr>
            <w:tcW w:w="416" w:type="dxa"/>
            <w:vAlign w:val="bottom"/>
          </w:tcPr>
          <w:p w14:paraId="6BDA8196"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10</w:t>
            </w:r>
          </w:p>
        </w:tc>
        <w:tc>
          <w:tcPr>
            <w:tcW w:w="1569" w:type="dxa"/>
            <w:vAlign w:val="center"/>
          </w:tcPr>
          <w:p w14:paraId="38AA4D5B" w14:textId="16D6403B"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78666B41" w14:textId="3F51F082"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de compensación y liquidación de valores</w:t>
            </w:r>
          </w:p>
        </w:tc>
        <w:tc>
          <w:tcPr>
            <w:tcW w:w="2268" w:type="dxa"/>
            <w:vAlign w:val="center"/>
          </w:tcPr>
          <w:p w14:paraId="0C2D9C98" w14:textId="241F33A5"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10-09</w:t>
            </w:r>
          </w:p>
        </w:tc>
      </w:tr>
      <w:tr w:rsidR="00607434" w:rsidRPr="00607434" w14:paraId="7F07E844" w14:textId="77777777" w:rsidTr="00607434">
        <w:trPr>
          <w:trHeight w:val="260"/>
        </w:trPr>
        <w:tc>
          <w:tcPr>
            <w:tcW w:w="416" w:type="dxa"/>
            <w:vAlign w:val="bottom"/>
          </w:tcPr>
          <w:p w14:paraId="5C86BC4C"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11</w:t>
            </w:r>
          </w:p>
        </w:tc>
        <w:tc>
          <w:tcPr>
            <w:tcW w:w="1569" w:type="dxa"/>
            <w:vAlign w:val="center"/>
          </w:tcPr>
          <w:p w14:paraId="37F2A313" w14:textId="7A0EE74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7266E638" w14:textId="2A5CCA99"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de Gestión de Riesgo</w:t>
            </w:r>
          </w:p>
        </w:tc>
        <w:tc>
          <w:tcPr>
            <w:tcW w:w="2268" w:type="dxa"/>
            <w:shd w:val="clear" w:color="auto" w:fill="auto"/>
            <w:vAlign w:val="center"/>
          </w:tcPr>
          <w:p w14:paraId="709AD5C5" w14:textId="535772B5"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11-09</w:t>
            </w:r>
          </w:p>
        </w:tc>
      </w:tr>
      <w:tr w:rsidR="00607434" w:rsidRPr="00607434" w14:paraId="443C10FA" w14:textId="77777777" w:rsidTr="00607434">
        <w:trPr>
          <w:trHeight w:val="260"/>
        </w:trPr>
        <w:tc>
          <w:tcPr>
            <w:tcW w:w="416" w:type="dxa"/>
            <w:vAlign w:val="bottom"/>
          </w:tcPr>
          <w:p w14:paraId="6D6662B9"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12</w:t>
            </w:r>
          </w:p>
        </w:tc>
        <w:tc>
          <w:tcPr>
            <w:tcW w:w="1569" w:type="dxa"/>
            <w:vAlign w:val="center"/>
          </w:tcPr>
          <w:p w14:paraId="0BE65450" w14:textId="7729309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1E3D3357" w14:textId="1876CAE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sobre políticas de prevención de uso indebido de información privilegiada</w:t>
            </w:r>
          </w:p>
        </w:tc>
        <w:tc>
          <w:tcPr>
            <w:tcW w:w="2268" w:type="dxa"/>
            <w:vAlign w:val="center"/>
          </w:tcPr>
          <w:p w14:paraId="2CE765E0" w14:textId="4B64745E"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12-09</w:t>
            </w:r>
          </w:p>
        </w:tc>
      </w:tr>
      <w:tr w:rsidR="00607434" w:rsidRPr="00607434" w14:paraId="663143F4" w14:textId="77777777" w:rsidTr="00607434">
        <w:trPr>
          <w:trHeight w:val="260"/>
        </w:trPr>
        <w:tc>
          <w:tcPr>
            <w:tcW w:w="416" w:type="dxa"/>
            <w:vAlign w:val="bottom"/>
          </w:tcPr>
          <w:p w14:paraId="4F640F0D"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13</w:t>
            </w:r>
          </w:p>
        </w:tc>
        <w:tc>
          <w:tcPr>
            <w:tcW w:w="1569" w:type="dxa"/>
            <w:vAlign w:val="center"/>
          </w:tcPr>
          <w:p w14:paraId="4CA24375" w14:textId="1838C04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50-10</w:t>
            </w:r>
          </w:p>
        </w:tc>
        <w:tc>
          <w:tcPr>
            <w:tcW w:w="5103" w:type="dxa"/>
            <w:vAlign w:val="center"/>
          </w:tcPr>
          <w:p w14:paraId="0802C243" w14:textId="3D1E7DE1"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de Bolsas de Valores</w:t>
            </w:r>
          </w:p>
        </w:tc>
        <w:tc>
          <w:tcPr>
            <w:tcW w:w="2268" w:type="dxa"/>
            <w:vAlign w:val="center"/>
          </w:tcPr>
          <w:p w14:paraId="6CE34740" w14:textId="0CA7496F"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13-10</w:t>
            </w:r>
          </w:p>
        </w:tc>
      </w:tr>
      <w:tr w:rsidR="00607434" w:rsidRPr="00607434" w14:paraId="01A7CB59" w14:textId="77777777" w:rsidTr="00607434">
        <w:trPr>
          <w:trHeight w:val="260"/>
        </w:trPr>
        <w:tc>
          <w:tcPr>
            <w:tcW w:w="416" w:type="dxa"/>
            <w:shd w:val="clear" w:color="auto" w:fill="auto"/>
            <w:vAlign w:val="bottom"/>
          </w:tcPr>
          <w:p w14:paraId="0B08E274"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14</w:t>
            </w:r>
          </w:p>
        </w:tc>
        <w:tc>
          <w:tcPr>
            <w:tcW w:w="1569" w:type="dxa"/>
            <w:shd w:val="clear" w:color="auto" w:fill="auto"/>
            <w:vAlign w:val="center"/>
          </w:tcPr>
          <w:p w14:paraId="6EE42473" w14:textId="38A5C583"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shd w:val="clear" w:color="auto" w:fill="auto"/>
            <w:vAlign w:val="center"/>
          </w:tcPr>
          <w:p w14:paraId="41574557" w14:textId="3831493A"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sobre Financiamiento de Proyectos de Infraestructura</w:t>
            </w:r>
          </w:p>
        </w:tc>
        <w:tc>
          <w:tcPr>
            <w:tcW w:w="2268" w:type="dxa"/>
            <w:shd w:val="clear" w:color="auto" w:fill="auto"/>
            <w:vAlign w:val="center"/>
          </w:tcPr>
          <w:p w14:paraId="4C0BF44B" w14:textId="087BFC7B"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14-14</w:t>
            </w:r>
          </w:p>
        </w:tc>
      </w:tr>
      <w:tr w:rsidR="00607434" w:rsidRPr="00607434" w14:paraId="4FE7D52B" w14:textId="77777777" w:rsidTr="00607434">
        <w:trPr>
          <w:trHeight w:val="260"/>
        </w:trPr>
        <w:tc>
          <w:tcPr>
            <w:tcW w:w="416" w:type="dxa"/>
            <w:vAlign w:val="bottom"/>
          </w:tcPr>
          <w:p w14:paraId="1D30D09A"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15</w:t>
            </w:r>
          </w:p>
        </w:tc>
        <w:tc>
          <w:tcPr>
            <w:tcW w:w="1569" w:type="dxa"/>
            <w:vAlign w:val="center"/>
          </w:tcPr>
          <w:p w14:paraId="74BF716B" w14:textId="4D2ED168"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6F6F1A87" w14:textId="557F3259"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sobre Procesos de Titularización.</w:t>
            </w:r>
          </w:p>
        </w:tc>
        <w:tc>
          <w:tcPr>
            <w:tcW w:w="2268" w:type="dxa"/>
            <w:vAlign w:val="center"/>
          </w:tcPr>
          <w:p w14:paraId="1459B0FF" w14:textId="10365251"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15-14</w:t>
            </w:r>
          </w:p>
        </w:tc>
      </w:tr>
      <w:tr w:rsidR="00607434" w:rsidRPr="00607434" w14:paraId="0D86EE08" w14:textId="77777777" w:rsidTr="00607434">
        <w:trPr>
          <w:trHeight w:val="260"/>
        </w:trPr>
        <w:tc>
          <w:tcPr>
            <w:tcW w:w="416" w:type="dxa"/>
            <w:vAlign w:val="bottom"/>
          </w:tcPr>
          <w:p w14:paraId="0BE9A4BF"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16</w:t>
            </w:r>
          </w:p>
        </w:tc>
        <w:tc>
          <w:tcPr>
            <w:tcW w:w="1569" w:type="dxa"/>
            <w:vAlign w:val="center"/>
          </w:tcPr>
          <w:p w14:paraId="1D61E9DD" w14:textId="2585B6F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505578C9" w14:textId="3A6EB7B0"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sobre sociedades fiduciarias que administren fideicomisos emisores de valores de oferta pública</w:t>
            </w:r>
          </w:p>
        </w:tc>
        <w:tc>
          <w:tcPr>
            <w:tcW w:w="2268" w:type="dxa"/>
            <w:vAlign w:val="center"/>
          </w:tcPr>
          <w:p w14:paraId="7A078504" w14:textId="6686303E"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16-14</w:t>
            </w:r>
          </w:p>
        </w:tc>
      </w:tr>
      <w:tr w:rsidR="00607434" w:rsidRPr="00607434" w14:paraId="57C05553" w14:textId="77777777" w:rsidTr="00607434">
        <w:trPr>
          <w:trHeight w:val="260"/>
        </w:trPr>
        <w:tc>
          <w:tcPr>
            <w:tcW w:w="416" w:type="dxa"/>
            <w:vAlign w:val="bottom"/>
          </w:tcPr>
          <w:p w14:paraId="0C665AE3"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17</w:t>
            </w:r>
          </w:p>
        </w:tc>
        <w:tc>
          <w:tcPr>
            <w:tcW w:w="1569" w:type="dxa"/>
            <w:vAlign w:val="center"/>
          </w:tcPr>
          <w:p w14:paraId="4DB96FDC" w14:textId="1EE18796"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5E052A01" w14:textId="5626FA7D"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de Custodia</w:t>
            </w:r>
          </w:p>
        </w:tc>
        <w:tc>
          <w:tcPr>
            <w:tcW w:w="2268" w:type="dxa"/>
            <w:vAlign w:val="center"/>
          </w:tcPr>
          <w:p w14:paraId="07295576" w14:textId="60337FE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17-15</w:t>
            </w:r>
          </w:p>
        </w:tc>
      </w:tr>
      <w:tr w:rsidR="00607434" w:rsidRPr="00607434" w14:paraId="497DA718" w14:textId="77777777" w:rsidTr="00607434">
        <w:trPr>
          <w:trHeight w:val="260"/>
        </w:trPr>
        <w:tc>
          <w:tcPr>
            <w:tcW w:w="416" w:type="dxa"/>
            <w:vAlign w:val="bottom"/>
          </w:tcPr>
          <w:p w14:paraId="0896399B"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18</w:t>
            </w:r>
          </w:p>
        </w:tc>
        <w:tc>
          <w:tcPr>
            <w:tcW w:w="1569" w:type="dxa"/>
            <w:vAlign w:val="center"/>
          </w:tcPr>
          <w:p w14:paraId="062CAABB" w14:textId="5A4E7C14"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7A9E7CFB" w14:textId="585756FE"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de Intermediación y Actividades Complementarias</w:t>
            </w:r>
          </w:p>
        </w:tc>
        <w:tc>
          <w:tcPr>
            <w:tcW w:w="2268" w:type="dxa"/>
            <w:vAlign w:val="center"/>
          </w:tcPr>
          <w:p w14:paraId="2D2D9A1A" w14:textId="05A64481"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18-16</w:t>
            </w:r>
          </w:p>
        </w:tc>
      </w:tr>
      <w:tr w:rsidR="00607434" w:rsidRPr="00607434" w14:paraId="357E7013" w14:textId="77777777" w:rsidTr="00607434">
        <w:trPr>
          <w:trHeight w:val="260"/>
        </w:trPr>
        <w:tc>
          <w:tcPr>
            <w:tcW w:w="416" w:type="dxa"/>
            <w:vAlign w:val="bottom"/>
          </w:tcPr>
          <w:p w14:paraId="748020C7" w14:textId="77777777"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19</w:t>
            </w:r>
          </w:p>
        </w:tc>
        <w:tc>
          <w:tcPr>
            <w:tcW w:w="1569" w:type="dxa"/>
            <w:vAlign w:val="center"/>
          </w:tcPr>
          <w:p w14:paraId="7276630F" w14:textId="2078C0A1"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[No tiene]</w:t>
            </w:r>
          </w:p>
        </w:tc>
        <w:tc>
          <w:tcPr>
            <w:tcW w:w="5103" w:type="dxa"/>
            <w:vAlign w:val="center"/>
          </w:tcPr>
          <w:p w14:paraId="42C31E86" w14:textId="78514A86"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Reglamento sobre Fondos de Inversión de Capital de Riesgo</w:t>
            </w:r>
          </w:p>
        </w:tc>
        <w:tc>
          <w:tcPr>
            <w:tcW w:w="2268" w:type="dxa"/>
            <w:vAlign w:val="center"/>
          </w:tcPr>
          <w:p w14:paraId="5276E00F" w14:textId="653089B8" w:rsidR="00607434" w:rsidRPr="00CD60ED" w:rsidRDefault="00607434" w:rsidP="00607434">
            <w:pPr>
              <w:autoSpaceDE w:val="0"/>
              <w:autoSpaceDN w:val="0"/>
              <w:adjustRightInd w:val="0"/>
              <w:contextualSpacing/>
              <w:rPr>
                <w:color w:val="auto"/>
                <w:sz w:val="18"/>
                <w:szCs w:val="18"/>
              </w:rPr>
            </w:pPr>
            <w:r w:rsidRPr="00CD60ED">
              <w:rPr>
                <w:color w:val="auto"/>
                <w:sz w:val="18"/>
                <w:szCs w:val="18"/>
              </w:rPr>
              <w:t>Acuerdo SUGEVAL 19-20</w:t>
            </w:r>
          </w:p>
        </w:tc>
      </w:tr>
    </w:tbl>
    <w:p w14:paraId="4E9E4D76" w14:textId="77777777" w:rsidR="00607434" w:rsidRPr="00607434" w:rsidRDefault="00607434" w:rsidP="00607434">
      <w:pPr>
        <w:pStyle w:val="Prrafodelista"/>
        <w:autoSpaceDE w:val="0"/>
        <w:autoSpaceDN w:val="0"/>
        <w:adjustRightInd w:val="0"/>
        <w:contextualSpacing/>
        <w:jc w:val="both"/>
      </w:pPr>
    </w:p>
    <w:p w14:paraId="2A0E896D" w14:textId="2D296065"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6.</w:t>
      </w:r>
      <w:r w:rsidRPr="00607434">
        <w:rPr>
          <w:sz w:val="24"/>
          <w:szCs w:val="24"/>
        </w:rPr>
        <w:tab/>
        <w:t>Que a partir de este acuerdo cualquier referencia señalada en alguna otra normativa aprobada por este Consejo relacionada con la normativa transversal será entendida de la manera dispuesta en el numeral 3.</w:t>
      </w:r>
    </w:p>
    <w:p w14:paraId="0ABAE11C" w14:textId="77777777" w:rsidR="00607434" w:rsidRPr="00607434" w:rsidRDefault="00607434" w:rsidP="00607434">
      <w:pPr>
        <w:pStyle w:val="Prrafodelista"/>
        <w:autoSpaceDE w:val="0"/>
        <w:autoSpaceDN w:val="0"/>
        <w:adjustRightInd w:val="0"/>
        <w:contextualSpacing/>
        <w:jc w:val="both"/>
      </w:pPr>
    </w:p>
    <w:p w14:paraId="3E5A9FBA" w14:textId="18323D18"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7.</w:t>
      </w:r>
      <w:r w:rsidRPr="00607434">
        <w:rPr>
          <w:sz w:val="24"/>
          <w:szCs w:val="24"/>
        </w:rPr>
        <w:tab/>
        <w:t>Que las normativas que son de aplicación para todas las entidades supervisadas por la SUGEF y SUGESE que no tienen alcance transversal no tendrán cambios en su codificación.</w:t>
      </w:r>
    </w:p>
    <w:p w14:paraId="35AE7105" w14:textId="77777777" w:rsidR="00607434" w:rsidRPr="00607434" w:rsidRDefault="00607434" w:rsidP="00607434">
      <w:pPr>
        <w:pStyle w:val="Prrafodelista"/>
      </w:pPr>
    </w:p>
    <w:p w14:paraId="0032AD7A" w14:textId="052E8A8B"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8.</w:t>
      </w:r>
      <w:r w:rsidRPr="00607434">
        <w:rPr>
          <w:sz w:val="24"/>
          <w:szCs w:val="24"/>
        </w:rPr>
        <w:tab/>
        <w:t>Que las normativas que son de aplicación para todas las entidades supervisadas por la SUPEN y SUGEVAL se codificaron de acuerdo con lo indicado en el numeral 1.</w:t>
      </w:r>
    </w:p>
    <w:p w14:paraId="3335E0EF" w14:textId="77777777" w:rsidR="00607434" w:rsidRPr="00607434" w:rsidRDefault="00607434" w:rsidP="00607434">
      <w:pPr>
        <w:autoSpaceDE w:val="0"/>
        <w:autoSpaceDN w:val="0"/>
        <w:adjustRightInd w:val="0"/>
        <w:ind w:left="426" w:hanging="426"/>
        <w:contextualSpacing/>
        <w:jc w:val="both"/>
        <w:rPr>
          <w:sz w:val="24"/>
          <w:szCs w:val="24"/>
        </w:rPr>
      </w:pPr>
    </w:p>
    <w:p w14:paraId="350312D5" w14:textId="272E2456" w:rsidR="00607434" w:rsidRPr="00607434" w:rsidRDefault="00607434" w:rsidP="00607434">
      <w:pPr>
        <w:autoSpaceDE w:val="0"/>
        <w:autoSpaceDN w:val="0"/>
        <w:adjustRightInd w:val="0"/>
        <w:ind w:left="426" w:hanging="426"/>
        <w:contextualSpacing/>
        <w:jc w:val="both"/>
        <w:rPr>
          <w:sz w:val="24"/>
          <w:szCs w:val="24"/>
        </w:rPr>
      </w:pPr>
      <w:r w:rsidRPr="00607434">
        <w:rPr>
          <w:sz w:val="24"/>
          <w:szCs w:val="24"/>
        </w:rPr>
        <w:t>9.</w:t>
      </w:r>
      <w:r w:rsidRPr="00607434">
        <w:rPr>
          <w:sz w:val="24"/>
          <w:szCs w:val="24"/>
        </w:rPr>
        <w:tab/>
        <w:t xml:space="preserve">Que en el plazo de seis meses a partir de la publicación en el diario oficial La Gaceta la SUGEF, SUGEVAL, SUPEN y SUGESE actualizarán integralmente en sus páginas </w:t>
      </w:r>
      <w:r w:rsidRPr="00607434">
        <w:rPr>
          <w:i/>
          <w:iCs/>
          <w:sz w:val="24"/>
          <w:szCs w:val="24"/>
        </w:rPr>
        <w:t>web</w:t>
      </w:r>
      <w:r w:rsidRPr="00607434">
        <w:rPr>
          <w:sz w:val="24"/>
          <w:szCs w:val="24"/>
        </w:rPr>
        <w:t xml:space="preserve"> y en los textos de las normativas, los códigos de las regulaciones transversales anteriormente mencionadas y cualquier otra mención realizada en las normativas individuales. </w:t>
      </w:r>
    </w:p>
    <w:p w14:paraId="51F64DB8" w14:textId="77777777" w:rsidR="00607434" w:rsidRPr="00607434" w:rsidRDefault="00607434" w:rsidP="00607434">
      <w:pPr>
        <w:autoSpaceDE w:val="0"/>
        <w:autoSpaceDN w:val="0"/>
        <w:adjustRightInd w:val="0"/>
        <w:contextualSpacing/>
        <w:jc w:val="both"/>
        <w:rPr>
          <w:sz w:val="24"/>
          <w:szCs w:val="24"/>
        </w:rPr>
      </w:pPr>
    </w:p>
    <w:p w14:paraId="71106B99" w14:textId="65AB865F" w:rsidR="00607434" w:rsidRPr="00F23C2A" w:rsidRDefault="00607434" w:rsidP="00607434">
      <w:pPr>
        <w:ind w:left="360" w:hanging="360"/>
        <w:contextualSpacing/>
        <w:jc w:val="both"/>
        <w:rPr>
          <w:sz w:val="24"/>
          <w:szCs w:val="24"/>
        </w:rPr>
      </w:pPr>
      <w:r w:rsidRPr="00F23C2A">
        <w:rPr>
          <w:sz w:val="24"/>
          <w:szCs w:val="24"/>
        </w:rPr>
        <w:t>Rige a partir de su publicación en el diario oficial La Gaceta.</w:t>
      </w:r>
    </w:p>
    <w:p w14:paraId="1DFCD208" w14:textId="77777777" w:rsidR="00607434" w:rsidRPr="00607434" w:rsidRDefault="00607434" w:rsidP="00607434">
      <w:pPr>
        <w:jc w:val="both"/>
        <w:rPr>
          <w:sz w:val="24"/>
          <w:szCs w:val="24"/>
        </w:rPr>
      </w:pPr>
    </w:p>
    <w:p w14:paraId="7D4C7C3D" w14:textId="22B4D692" w:rsidR="00A36D16" w:rsidRPr="00607434" w:rsidRDefault="00C760F6" w:rsidP="00607434">
      <w:pPr>
        <w:widowControl w:val="0"/>
        <w:jc w:val="both"/>
        <w:rPr>
          <w:sz w:val="24"/>
          <w:szCs w:val="24"/>
        </w:rPr>
      </w:pPr>
      <w:r w:rsidRPr="00607434">
        <w:rPr>
          <w:noProof/>
          <w:sz w:val="24"/>
          <w:szCs w:val="24"/>
        </w:rPr>
        <w:drawing>
          <wp:anchor distT="0" distB="0" distL="114300" distR="114300" simplePos="0" relativeHeight="251658240" behindDoc="1" locked="0" layoutInCell="1" allowOverlap="0" wp14:anchorId="128ED37D" wp14:editId="37DC8A5D">
            <wp:simplePos x="0" y="0"/>
            <wp:positionH relativeFrom="column">
              <wp:posOffset>-80010</wp:posOffset>
            </wp:positionH>
            <wp:positionV relativeFrom="paragraph">
              <wp:posOffset>194945</wp:posOffset>
            </wp:positionV>
            <wp:extent cx="2295525" cy="400050"/>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607434">
        <w:rPr>
          <w:sz w:val="24"/>
          <w:szCs w:val="24"/>
        </w:rPr>
        <w:t>Atentamente,</w:t>
      </w:r>
    </w:p>
    <w:p w14:paraId="7A471ADB" w14:textId="77777777" w:rsidR="00901072" w:rsidRPr="00607434" w:rsidRDefault="00901072" w:rsidP="00607434">
      <w:pPr>
        <w:widowControl w:val="0"/>
        <w:jc w:val="both"/>
        <w:rPr>
          <w:sz w:val="24"/>
          <w:szCs w:val="24"/>
        </w:rPr>
      </w:pPr>
      <w:r w:rsidRPr="00607434">
        <w:rPr>
          <w:sz w:val="24"/>
          <w:szCs w:val="24"/>
        </w:rPr>
        <w:br/>
      </w:r>
    </w:p>
    <w:p w14:paraId="14DE3694" w14:textId="77777777" w:rsidR="004D6CBF" w:rsidRPr="00607434" w:rsidRDefault="004D6CBF" w:rsidP="00607434">
      <w:pPr>
        <w:widowControl w:val="0"/>
        <w:jc w:val="both"/>
        <w:rPr>
          <w:sz w:val="24"/>
          <w:szCs w:val="24"/>
        </w:rPr>
      </w:pPr>
    </w:p>
    <w:p w14:paraId="2BE07859" w14:textId="3474DFF6" w:rsidR="00A36D16" w:rsidRPr="00607434" w:rsidRDefault="00A36D16" w:rsidP="00607434">
      <w:pPr>
        <w:widowControl w:val="0"/>
        <w:jc w:val="both"/>
        <w:rPr>
          <w:sz w:val="24"/>
          <w:szCs w:val="24"/>
        </w:rPr>
      </w:pPr>
      <w:r w:rsidRPr="00607434">
        <w:rPr>
          <w:sz w:val="24"/>
          <w:szCs w:val="24"/>
        </w:rPr>
        <w:t>Jorge Monge Bonilla</w:t>
      </w:r>
    </w:p>
    <w:p w14:paraId="5D75CB17" w14:textId="6963EE93" w:rsidR="00A36D16" w:rsidRPr="00607434" w:rsidRDefault="00A36D16" w:rsidP="00607434">
      <w:pPr>
        <w:widowControl w:val="0"/>
        <w:rPr>
          <w:b/>
          <w:i/>
          <w:sz w:val="24"/>
          <w:szCs w:val="24"/>
        </w:rPr>
      </w:pPr>
      <w:r w:rsidRPr="00607434">
        <w:rPr>
          <w:b/>
          <w:i/>
          <w:sz w:val="24"/>
          <w:szCs w:val="24"/>
        </w:rPr>
        <w:t>Secretario del Consejo</w:t>
      </w:r>
    </w:p>
    <w:p w14:paraId="0AFD2C9E" w14:textId="77777777" w:rsidR="00A36D16" w:rsidRPr="00607434" w:rsidRDefault="00A36D16" w:rsidP="00607434">
      <w:pPr>
        <w:widowControl w:val="0"/>
        <w:jc w:val="both"/>
        <w:rPr>
          <w:sz w:val="24"/>
          <w:szCs w:val="24"/>
        </w:rPr>
      </w:pPr>
    </w:p>
    <w:sectPr w:rsidR="00A36D16" w:rsidRPr="00607434" w:rsidSect="00D33020">
      <w:headerReference w:type="even" r:id="rId14"/>
      <w:headerReference w:type="default" r:id="rId15"/>
      <w:footerReference w:type="even" r:id="rId16"/>
      <w:footerReference w:type="default" r:id="rId17"/>
      <w:headerReference w:type="first" r:id="rId18"/>
      <w:footerReference w:type="first" r:id="rId19"/>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4BDE1" w14:textId="77777777" w:rsidR="00CA7921" w:rsidRDefault="00CA7921" w:rsidP="00290A93">
      <w:r>
        <w:separator/>
      </w:r>
    </w:p>
  </w:endnote>
  <w:endnote w:type="continuationSeparator" w:id="0">
    <w:p w14:paraId="149AC0A1" w14:textId="77777777" w:rsidR="00CA7921" w:rsidRDefault="00CA7921" w:rsidP="00290A93">
      <w:r>
        <w:continuationSeparator/>
      </w:r>
    </w:p>
  </w:endnote>
  <w:endnote w:type="continuationNotice" w:id="1">
    <w:p w14:paraId="0064DFBA" w14:textId="77777777" w:rsidR="00686467" w:rsidRDefault="00686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Arabic Typesetting"/>
    <w:charset w:val="00"/>
    <w:family w:val="script"/>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CB1A9" w14:textId="77777777" w:rsidR="001D683F" w:rsidRDefault="001D68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D9CD1" w14:textId="77777777" w:rsidR="001D683F" w:rsidRDefault="001D68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9742"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8D2CB" w14:textId="77777777" w:rsidR="00CA7921" w:rsidRDefault="00CA7921" w:rsidP="00290A93">
      <w:r>
        <w:separator/>
      </w:r>
    </w:p>
  </w:footnote>
  <w:footnote w:type="continuationSeparator" w:id="0">
    <w:p w14:paraId="4D32921A" w14:textId="77777777" w:rsidR="00CA7921" w:rsidRDefault="00CA7921" w:rsidP="00290A93">
      <w:r>
        <w:continuationSeparator/>
      </w:r>
    </w:p>
  </w:footnote>
  <w:footnote w:type="continuationNotice" w:id="1">
    <w:p w14:paraId="063901DD" w14:textId="77777777" w:rsidR="00686467" w:rsidRDefault="00686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CB5A1" w14:textId="77777777" w:rsidR="001D683F" w:rsidRDefault="001D68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3A38" w14:textId="48C19651" w:rsidR="00D33020" w:rsidRDefault="00C760F6">
    <w:pPr>
      <w:pStyle w:val="Encabezado"/>
    </w:pPr>
    <w:r>
      <w:rPr>
        <w:noProof/>
        <w:lang w:val="es-CR" w:eastAsia="es-CR"/>
      </w:rPr>
      <w:drawing>
        <wp:anchor distT="0" distB="0" distL="114300" distR="114300" simplePos="0" relativeHeight="251658240" behindDoc="0" locked="0" layoutInCell="1" allowOverlap="1" wp14:anchorId="41FAE515" wp14:editId="4A2D5924">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C612" w14:textId="77777777" w:rsidR="001D683F" w:rsidRDefault="001D68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0"/>
  </w:num>
  <w:num w:numId="8">
    <w:abstractNumId w:val="3"/>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29E6"/>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42"/>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B66EF"/>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1C0"/>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3D52"/>
    <w:rsid w:val="003E507C"/>
    <w:rsid w:val="003E631E"/>
    <w:rsid w:val="003E7B93"/>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688D"/>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07434"/>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27831"/>
    <w:rsid w:val="00631F18"/>
    <w:rsid w:val="006320E3"/>
    <w:rsid w:val="00632198"/>
    <w:rsid w:val="00634835"/>
    <w:rsid w:val="00635081"/>
    <w:rsid w:val="006367DF"/>
    <w:rsid w:val="00636C30"/>
    <w:rsid w:val="00637A13"/>
    <w:rsid w:val="00637CBD"/>
    <w:rsid w:val="006415F7"/>
    <w:rsid w:val="006441BE"/>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6467"/>
    <w:rsid w:val="006876C8"/>
    <w:rsid w:val="006878A1"/>
    <w:rsid w:val="00687A7A"/>
    <w:rsid w:val="00690617"/>
    <w:rsid w:val="00694571"/>
    <w:rsid w:val="006972F8"/>
    <w:rsid w:val="006A332D"/>
    <w:rsid w:val="006A3CC1"/>
    <w:rsid w:val="006A43EB"/>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1370"/>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E06"/>
    <w:rsid w:val="00746F43"/>
    <w:rsid w:val="007528D4"/>
    <w:rsid w:val="00753345"/>
    <w:rsid w:val="00753ECA"/>
    <w:rsid w:val="007547B4"/>
    <w:rsid w:val="007555DF"/>
    <w:rsid w:val="00755868"/>
    <w:rsid w:val="0075753D"/>
    <w:rsid w:val="00763933"/>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4A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4D3D"/>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6CB5"/>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0CB"/>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60F6"/>
    <w:rsid w:val="00C775CC"/>
    <w:rsid w:val="00C77BD1"/>
    <w:rsid w:val="00C82977"/>
    <w:rsid w:val="00C82CF2"/>
    <w:rsid w:val="00C8470C"/>
    <w:rsid w:val="00C85B21"/>
    <w:rsid w:val="00C873F9"/>
    <w:rsid w:val="00C908AA"/>
    <w:rsid w:val="00C944C7"/>
    <w:rsid w:val="00C97D98"/>
    <w:rsid w:val="00CA7921"/>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0ED"/>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1EBD"/>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23C2A"/>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6E30"/>
    <w:rsid w:val="00FC729B"/>
    <w:rsid w:val="00FC7358"/>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32893"/>
  <w15:chartTrackingRefBased/>
  <w15:docId w15:val="{FA9A5C81-E7AD-4184-9E44-BA41DBE8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nhideWhenUsed/>
    <w:rsid w:val="00290A93"/>
    <w:pPr>
      <w:tabs>
        <w:tab w:val="center" w:pos="4419"/>
        <w:tab w:val="right" w:pos="8838"/>
      </w:tabs>
    </w:pPr>
  </w:style>
  <w:style w:type="character" w:customStyle="1" w:styleId="PiedepginaCar">
    <w:name w:val="Pie de página Car"/>
    <w:link w:val="Piedepgina"/>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paragraph" w:customStyle="1" w:styleId="CC">
    <w:name w:val="CC"/>
    <w:basedOn w:val="Normal"/>
    <w:link w:val="CCChar"/>
    <w:qFormat/>
    <w:rsid w:val="00627831"/>
    <w:pPr>
      <w:spacing w:line="360" w:lineRule="auto"/>
      <w:jc w:val="both"/>
    </w:pPr>
    <w:rPr>
      <w:rFonts w:ascii="Cambria" w:hAnsi="Cambria"/>
      <w:sz w:val="18"/>
      <w:szCs w:val="18"/>
      <w:lang w:val="es-CR" w:eastAsia="en-US"/>
    </w:rPr>
  </w:style>
  <w:style w:type="character" w:customStyle="1" w:styleId="CCChar">
    <w:name w:val="CC Char"/>
    <w:link w:val="CC"/>
    <w:rsid w:val="00627831"/>
    <w:rPr>
      <w:rFonts w:ascii="Cambria" w:eastAsia="Times New Roman" w:hAnsi="Cambria"/>
      <w:sz w:val="18"/>
      <w:szCs w:val="18"/>
      <w:lang w:eastAsia="en-US"/>
    </w:rPr>
  </w:style>
  <w:style w:type="table" w:styleId="Tablaconcuadrcula7concolores">
    <w:name w:val="Grid Table 7 Colorful"/>
    <w:basedOn w:val="Tablanormal"/>
    <w:uiPriority w:val="52"/>
    <w:rsid w:val="006074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jt0MbobNxPukqbxJHKkwRP5TpPdZ2iHfF7ott/EW39I=</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ZVdY6BJDPWUAOeK/6n7flAQMYulZ617bKWL2Vl8hLBI=</DigestValue>
    </Reference>
  </SignedInfo>
  <SignatureValue>SeeHL2iQMKZVKSMWEDfromCospVxMW8LcO1zLbHBz2Ob2nQSt8eBgHMYzibpw9qs+h2vkxMUM4OE
s1i9koEBSQn6ojhIYVCSZyorbCtutLozKV4Gym5faNYqNm9Jw9D/ptj4g1j/7wkN+5vQxV+u+Cdv
LG0BgFXMc9uciUVM1uSWqtgbT5kr62JGpPKMPu7b9DiCSgK6i4Xjw1DowT5zRm8B3+0+Ss39SnBN
y3jqquRoLdQ/Bs24Gn6P+Ki7RtnOMHeCbSMQSPG4csm7P8ujZOSS2xgXWR0wpddA0pDcCKsHcomf
G2PwKAQIht/5xVysuxckv6M6LHeezLcFuXp3Ow==</SignatureValue>
  <KeyInfo>
    <X509Data>
      <X509Certificate>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qg3l7IjbOFXz9QWNIAlQEHmfyr5T3DzBCYNeRv5Q5OYfiYqzZTqM/k2hDnmDxyGdpgh8utXWXdWXtCxzV1/7w8aQxCyAAqrSNliiezW8Bh67SNMH6ppO6E1Ch7djtDFXJN8N9ZkcBX67fbuX6fFvVRJxD0Z/GcpbDoPJQ01UE3Gk6gHLnVK5LVdP+KmT99Fbz4nsIMDbSYrpJg14YGUGKmdejKSSGJrovTmGclvdZjsY7atq48Axf08LeLlH8fR1Oz7ttEUYuH/V/CKut7HmmSw8DqZOyCp/3oPKRnQNhsfOTF5dVE1umFPTxmdMO3uRmQXRsQDy3XpneAUcvWJK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+GeIqwqcpMIWXd47bybr84GNY8qPjNEnNuB4c4ndfS4=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document.xml?ContentType=application/vnd.openxmlformats-officedocument.wordprocessingml.document.main+xml">
        <DigestMethod Algorithm="http://www.w3.org/2001/04/xmlenc#sha256"/>
        <DigestValue>Q0isZqTFGtz326dZXmL3bctVU66ZIu/kehN5bV9vImw=</DigestValue>
      </Reference>
      <Reference URI="/word/endnotes.xml?ContentType=application/vnd.openxmlformats-officedocument.wordprocessingml.endnotes+xml">
        <DigestMethod Algorithm="http://www.w3.org/2001/04/xmlenc#sha256"/>
        <DigestValue>4VvmeRuWv4aQbcAEOY9r6eGGNppBvAWJmsf4Sv5Rgv4=</DigestValue>
      </Reference>
      <Reference URI="/word/fontTable.xml?ContentType=application/vnd.openxmlformats-officedocument.wordprocessingml.fontTable+xml">
        <DigestMethod Algorithm="http://www.w3.org/2001/04/xmlenc#sha256"/>
        <DigestValue>sPAOkvCSXCgVXUkdq45CxRG/+utS5dD7alugGPgSRU8=</DigestValue>
      </Reference>
      <Reference URI="/word/footer1.xml?ContentType=application/vnd.openxmlformats-officedocument.wordprocessingml.footer+xml">
        <DigestMethod Algorithm="http://www.w3.org/2001/04/xmlenc#sha256"/>
        <DigestValue>2NCcHsVtR/DtaQY9LeFJDCVETOuQN8Daufn212P1Q30=</DigestValue>
      </Reference>
      <Reference URI="/word/footer2.xml?ContentType=application/vnd.openxmlformats-officedocument.wordprocessingml.footer+xml">
        <DigestMethod Algorithm="http://www.w3.org/2001/04/xmlenc#sha256"/>
        <DigestValue>4Iv16EJ5+j7WJxg1Ar3FT7e6igiN2CvBja5tRcChEXA=</DigestValue>
      </Reference>
      <Reference URI="/word/footer3.xml?ContentType=application/vnd.openxmlformats-officedocument.wordprocessingml.footer+xml">
        <DigestMethod Algorithm="http://www.w3.org/2001/04/xmlenc#sha256"/>
        <DigestValue>r0uPBGKiMVBiVNpau8zFyUPVVze+pjaQMR0vEg+F8DY=</DigestValue>
      </Reference>
      <Reference URI="/word/footnotes.xml?ContentType=application/vnd.openxmlformats-officedocument.wordprocessingml.footnotes+xml">
        <DigestMethod Algorithm="http://www.w3.org/2001/04/xmlenc#sha256"/>
        <DigestValue>qxZEQGGp1cnkGHAI1TmBof+BaJXx15zws49Fg+LCPd4=</DigestValue>
      </Reference>
      <Reference URI="/word/header1.xml?ContentType=application/vnd.openxmlformats-officedocument.wordprocessingml.header+xml">
        <DigestMethod Algorithm="http://www.w3.org/2001/04/xmlenc#sha256"/>
        <DigestValue>BheCUBC7zF6L+dd9LDStpF0CEBrOGSt/KF2MJW/VD1k=</DigestValue>
      </Reference>
      <Reference URI="/word/header2.xml?ContentType=application/vnd.openxmlformats-officedocument.wordprocessingml.header+xml">
        <DigestMethod Algorithm="http://www.w3.org/2001/04/xmlenc#sha256"/>
        <DigestValue>8zl1vo/BGMIcVwYroYWKi0tdyS/ajbbc1OjE9t1s0aI=</DigestValue>
      </Reference>
      <Reference URI="/word/header3.xml?ContentType=application/vnd.openxmlformats-officedocument.wordprocessingml.header+xml">
        <DigestMethod Algorithm="http://www.w3.org/2001/04/xmlenc#sha256"/>
        <DigestValue>1gSloBfbINSL1g5Ut6XYZubnuPPVO+RHr5ESL8qEoIw=</DigestValue>
      </Reference>
      <Reference URI="/word/media/image1.png?ContentType=image/png">
        <DigestMethod Algorithm="http://www.w3.org/2001/04/xmlenc#sha256"/>
        <DigestValue>W8eBXkNB7CgNyhrjXinZTUJoI/T9h6RzUUxSJNXequo=</DigestValue>
      </Reference>
      <Reference URI="/word/media/image2.jpeg?ContentType=image/jpeg">
        <DigestMethod Algorithm="http://www.w3.org/2001/04/xmlenc#sha256"/>
        <DigestValue>ZXjuZ3zB0+z18XIrPbhYf1rfidEzDtaheIy//dbr6Ps=</DigestValue>
      </Reference>
      <Reference URI="/word/media/image3.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o9IqH0A584KcYfsHa00OgI6AxA888xnxSBdeA+BPCcM=</DigestValue>
      </Reference>
      <Reference URI="/word/settings.xml?ContentType=application/vnd.openxmlformats-officedocument.wordprocessingml.settings+xml">
        <DigestMethod Algorithm="http://www.w3.org/2001/04/xmlenc#sha256"/>
        <DigestValue>AfNlwYa1RP7sJBXU912zJyme+AB491t7GwGhk6AiXOk=</DigestValue>
      </Reference>
      <Reference URI="/word/styles.xml?ContentType=application/vnd.openxmlformats-officedocument.wordprocessingml.styles+xml">
        <DigestMethod Algorithm="http://www.w3.org/2001/04/xmlenc#sha256"/>
        <DigestValue>oFQ+vxg7xL4makaG8kI+JZWLtdae4CMe7fjVVyw8DFA=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0eJi65kyZ/3/tdvGv/eZJvq56S8aMirrtz5258BMtdQ=</DigestValue>
      </Reference>
    </Manifest>
    <SignatureProperties>
      <SignatureProperty Id="idSignatureTime" Target="#idPackageSignature">
        <mdssi:SignatureTime xmlns:mdssi="http://schemas.openxmlformats.org/package/2006/digital-signature">
          <mdssi:Format>YYYY-MM-DDThh:mm:ssTZD</mdssi:Format>
          <mdssi:Value>2022-04-22T03:28:08Z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2022-04-22T03:28:08Z</xd:SigningTime>
          <xd:SigningCertificate>
            <xd:Cert>
              <xd:CertDigest>
                <DigestMethod Algorithm="http://www.w3.org/2001/04/xmlenc#sha256"/>
                <DigestValue>1mvCjBtmy5mpR5xybLpb/P2AhUvds+n6SOCUzKbD5RE=</DigestValue>
              </xd:CertDigest>
              <xd:IssuerSerial>
                <X509IssuerName>CN=CA SINPE - PERSONA FISICA v2, OU=DIVISION SISTEMAS DE PAGO, O=BANCO CENTRAL DE COSTA RICA, C=CR, SERIALNUMBER=CPJ-4-000-004017</X509IssuerName>
                <X509SerialNumber>446019316767193280555037216036052129622587345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qSqN6nMFNIvFTKUndgd36OV7tdosuyc5XV75V3+gM4CBA7RjssYDzIwMjIwNDIyMDMyOD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M42a7kAvODl/YGOe+wDp2v4FVpw=</xd:ByKey>
                  </xd:ResponderID>
                  <xd:ProducedAt>2022-04-22T03:27:30Z</xd:ProducedAt>
                </xd:OCSPIdentifier>
                <xd:DigestAlgAndValue>
                  <DigestMethod Algorithm="http://www.w3.org/2001/04/xmlenc#sha256"/>
                  <DigestValue>daOY/kP9ZGEOAi6vkes93LdeFSu/RaDIOjgCXQyrkAo=</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</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09vtSznRbsvXxLemd+iY9mR/jt+062fbfbnz1I8tUCBA7Rjs4YDzIwMjIwNDIyMDMyOD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04-Abril</Mes>
    <_x002d_ xmlns="96c239bb-9668-4681-985a-a7d7030fe907" xsi:nil="true"/>
    <A_x00f1_o xmlns="96c239bb-9668-4681-985a-a7d7030fe907">2022</A_x00f1_o>
    <Sesi_x00f3_n xmlns="96c239bb-9668-4681-985a-a7d7030fe907">1725</Sesi_x00f3_n>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5" ma:contentTypeDescription="Plantilla para comunicar los acuerdos tomados por la JD del BCCR" ma:contentTypeScope="" ma:versionID="1e84f112e7faf3804669ecc606e23bd7">
  <xsd:schema xmlns:xsd="http://www.w3.org/2001/XMLSchema" xmlns:xs="http://www.w3.org/2001/XMLSchema" xmlns:p="http://schemas.microsoft.com/office/2006/metadata/properties" xmlns:ns2="96c239bb-9668-4681-985a-a7d7030fe907" targetNamespace="http://schemas.microsoft.com/office/2006/metadata/properties" ma:root="true" ma:fieldsID="170689c88b62273dd319406497123152"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1" ma:format="Dropdown" ma:indexed="true" ma:internalName="A_x00f1_o" ma:readOnly="false">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55C7A-59B0-4E45-8294-A8826E54650B}">
  <ds:schemaRefs>
    <ds:schemaRef ds:uri="http://schemas.microsoft.com/sharepoint/v3/contenttype/forms"/>
  </ds:schemaRefs>
</ds:datastoreItem>
</file>

<file path=customXml/itemProps2.xml><?xml version="1.0" encoding="utf-8"?>
<ds:datastoreItem xmlns:ds="http://schemas.openxmlformats.org/officeDocument/2006/customXml" ds:itemID="{C87774FF-0DF4-4E60-942F-1423BE6376E6}">
  <ds:schemaRefs>
    <ds:schemaRef ds:uri="96c239bb-9668-4681-985a-a7d7030fe907"/>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271FDA88-B7AD-4716-82F8-87554C60E89F}">
  <ds:schemaRefs>
    <ds:schemaRef ds:uri="http://schemas.microsoft.com/office/2006/metadata/longProperties"/>
  </ds:schemaRefs>
</ds:datastoreItem>
</file>

<file path=customXml/itemProps4.xml><?xml version="1.0" encoding="utf-8"?>
<ds:datastoreItem xmlns:ds="http://schemas.openxmlformats.org/officeDocument/2006/customXml" ds:itemID="{88C5D828-A2E3-475D-A370-6AD3C1AE2857}">
  <ds:schemaRefs>
    <ds:schemaRef ds:uri="http://schemas.openxmlformats.org/officeDocument/2006/bibliography"/>
  </ds:schemaRefs>
</ds:datastoreItem>
</file>

<file path=customXml/itemProps5.xml><?xml version="1.0" encoding="utf-8"?>
<ds:datastoreItem xmlns:ds="http://schemas.openxmlformats.org/officeDocument/2006/customXml" ds:itemID="{FC9D2610-5ACA-4D18-97B7-F548BC062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MORA DAYANA</dc:creator>
  <cp:keywords/>
  <cp:lastModifiedBy>HERNANDEZ MORA DAYANA</cp:lastModifiedBy>
  <cp:revision>4</cp:revision>
  <cp:lastPrinted>2013-01-30T22:12:00Z</cp:lastPrinted>
  <dcterms:created xsi:type="dcterms:W3CDTF">2022-04-21T21:24:00Z</dcterms:created>
  <dcterms:modified xsi:type="dcterms:W3CDTF">2022-04-21T21:25:00Z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ContentTypeId">
    <vt:lpwstr>0x0101008A2E0295431CB54A933AC477DC2BC7AF00A2A5AC1694757C44B8474694E4442E22</vt:lpwstr>
  </property>
</Properties>
</file>