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sz w:val="24"/>
        </w:rPr>
        <w:alias w:val="Consecutivo"/>
        <w:tag w:val="Consecutivo"/>
        <w:id w:val="2052717023"/>
        <w:placeholder>
          <w:docPart w:val="393DF0611D3446BAA6C6C986DFBECCCF"/>
        </w:placeholder>
        <w:text/>
      </w:sdtPr>
      <w:sdtEndPr/>
      <w:sdtContent>
        <w:p w:rsidR="006972C9" w:rsidP="00A46723" w:rsidRDefault="006972C9" w14:paraId="14662E68" w14:textId="77777777">
          <w:pPr>
            <w:tabs>
              <w:tab w:val="left" w:pos="2843"/>
            </w:tabs>
            <w:spacing w:line="240" w:lineRule="auto"/>
            <w:jc w:val="center"/>
            <w:rPr>
              <w:sz w:val="24"/>
            </w:rPr>
          </w:pPr>
          <w:r>
            <w:t>SGF-2317-2021</w:t>
          </w:r>
        </w:p>
      </w:sdtContent>
    </w:sdt>
    <w:p w:rsidR="006972C9" w:rsidP="00A46723" w:rsidRDefault="00861FC7" w14:paraId="2F0EFD9C" w14:textId="77777777">
      <w:pPr>
        <w:tabs>
          <w:tab w:val="left" w:pos="2843"/>
        </w:tabs>
        <w:spacing w:line="240" w:lineRule="auto"/>
        <w:jc w:val="center"/>
        <w:rPr>
          <w:sz w:val="24"/>
        </w:rPr>
      </w:pPr>
      <w:sdt>
        <w:sdtPr>
          <w:rPr>
            <w:sz w:val="24"/>
          </w:rPr>
          <w:alias w:val="Confidencialidad"/>
          <w:tag w:val="Confidencialidad"/>
          <w:id w:val="1447896894"/>
          <w:placeholder>
            <w:docPart w:val="8C10CD0EBD0F409F80FBE35EB0E9465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A33DD6">
            <w:rPr>
              <w:sz w:val="24"/>
            </w:rPr>
            <w:t>SGF-PROPIETARIO</w:t>
          </w:r>
        </w:sdtContent>
      </w:sdt>
    </w:p>
    <w:p w:rsidRPr="002E2B0A" w:rsidR="006972C9" w:rsidP="008D0062" w:rsidRDefault="006972C9" w14:paraId="6D241B7E" w14:textId="77777777">
      <w:pPr>
        <w:tabs>
          <w:tab w:val="left" w:pos="2843"/>
        </w:tabs>
        <w:spacing w:line="240" w:lineRule="auto"/>
        <w:rPr>
          <w:sz w:val="24"/>
        </w:rPr>
      </w:pPr>
      <w:r w:rsidRPr="002E2B0A">
        <w:rPr>
          <w:sz w:val="24"/>
        </w:rPr>
        <w:tab/>
      </w:r>
    </w:p>
    <w:p w:rsidRPr="004E220C" w:rsidR="00A33DD6" w:rsidP="00A33DD6" w:rsidRDefault="008F7E38" w14:paraId="1D3F981A" w14:textId="79FFA147">
      <w:pPr>
        <w:tabs>
          <w:tab w:val="left" w:pos="2843"/>
        </w:tabs>
        <w:spacing w:line="240" w:lineRule="auto"/>
        <w:jc w:val="center"/>
        <w:rPr>
          <w:rFonts w:cs="Arial"/>
          <w:b/>
          <w:bCs/>
          <w:sz w:val="28"/>
          <w:szCs w:val="28"/>
          <w:lang w:val="es-CR"/>
        </w:rPr>
      </w:pPr>
      <w:bookmarkStart w:name="_Hlk77232605" w:id="0"/>
      <w:bookmarkStart w:name="_Hlk77246719" w:id="1"/>
      <w:r w:rsidRPr="004E220C">
        <w:rPr>
          <w:rFonts w:cs="Arial"/>
          <w:b/>
          <w:bCs/>
          <w:sz w:val="28"/>
          <w:szCs w:val="28"/>
          <w:lang w:val="es-CR"/>
        </w:rPr>
        <w:t>Resolución</w:t>
      </w:r>
      <w:r w:rsidR="00861FC7">
        <w:rPr>
          <w:rFonts w:cs="Arial"/>
          <w:b/>
          <w:bCs/>
          <w:sz w:val="28"/>
          <w:szCs w:val="28"/>
          <w:lang w:val="es-CR"/>
        </w:rPr>
        <w:t xml:space="preserve"> de la Superintendente</w:t>
      </w:r>
    </w:p>
    <w:p w:rsidRPr="00CA5005" w:rsidR="00A33DD6" w:rsidP="00A33DD6" w:rsidRDefault="008C0D55" w14:paraId="2BBAE381" w14:textId="37210395">
      <w:pPr>
        <w:tabs>
          <w:tab w:val="left" w:pos="2843"/>
        </w:tabs>
        <w:spacing w:line="240" w:lineRule="auto"/>
        <w:jc w:val="center"/>
        <w:rPr>
          <w:sz w:val="24"/>
          <w:lang w:val="es-CR"/>
        </w:rPr>
      </w:pPr>
      <w:r>
        <w:rPr>
          <w:sz w:val="24"/>
          <w:lang w:val="es-CR"/>
        </w:rPr>
        <w:t>1</w:t>
      </w:r>
      <w:r w:rsidR="004E220C">
        <w:rPr>
          <w:sz w:val="24"/>
          <w:lang w:val="es-CR"/>
        </w:rPr>
        <w:t>2</w:t>
      </w:r>
      <w:r w:rsidR="00A33DD6">
        <w:rPr>
          <w:sz w:val="24"/>
          <w:lang w:val="es-CR"/>
        </w:rPr>
        <w:t xml:space="preserve"> </w:t>
      </w:r>
      <w:r w:rsidRPr="00CA5005" w:rsidR="00A33DD6">
        <w:rPr>
          <w:sz w:val="24"/>
          <w:lang w:val="es-CR"/>
        </w:rPr>
        <w:t xml:space="preserve">de </w:t>
      </w:r>
      <w:r>
        <w:rPr>
          <w:sz w:val="24"/>
          <w:lang w:val="es-CR"/>
        </w:rPr>
        <w:t>agosto</w:t>
      </w:r>
      <w:r w:rsidR="00A33DD6">
        <w:rPr>
          <w:sz w:val="24"/>
          <w:lang w:val="es-CR"/>
        </w:rPr>
        <w:t xml:space="preserve"> del </w:t>
      </w:r>
      <w:r w:rsidRPr="00CA5005" w:rsidR="00A33DD6">
        <w:rPr>
          <w:sz w:val="24"/>
          <w:lang w:val="es-CR"/>
        </w:rPr>
        <w:t>2021</w:t>
      </w:r>
    </w:p>
    <w:p w:rsidRPr="00CA5005" w:rsidR="00A33DD6" w:rsidP="00A33DD6" w:rsidRDefault="00A33DD6" w14:paraId="3BB69F56" w14:textId="77777777">
      <w:pPr>
        <w:spacing w:line="240" w:lineRule="auto"/>
        <w:jc w:val="center"/>
        <w:rPr>
          <w:sz w:val="24"/>
        </w:rPr>
      </w:pPr>
    </w:p>
    <w:p w:rsidRPr="004D4063" w:rsidR="00C035EB" w:rsidP="00A33DD6" w:rsidRDefault="00C035EB" w14:paraId="019AC642" w14:textId="77777777">
      <w:pPr>
        <w:tabs>
          <w:tab w:val="left" w:pos="2843"/>
        </w:tabs>
        <w:spacing w:line="240" w:lineRule="auto"/>
        <w:rPr>
          <w:b/>
          <w:sz w:val="24"/>
        </w:rPr>
      </w:pPr>
    </w:p>
    <w:p w:rsidRPr="00CA5005" w:rsidR="008C0D55" w:rsidP="008C0D55" w:rsidRDefault="008C0D55" w14:paraId="42488CB0" w14:textId="77777777">
      <w:pPr>
        <w:tabs>
          <w:tab w:val="left" w:pos="2843"/>
        </w:tabs>
        <w:spacing w:line="240" w:lineRule="auto"/>
        <w:rPr>
          <w:b/>
          <w:sz w:val="24"/>
          <w:lang w:val="es-CR"/>
        </w:rPr>
      </w:pPr>
      <w:bookmarkStart w:name="_Hlk79561321" w:id="2"/>
      <w:bookmarkEnd w:id="0"/>
      <w:r w:rsidRPr="00CA5005">
        <w:rPr>
          <w:b/>
          <w:sz w:val="24"/>
          <w:lang w:val="es-CR"/>
        </w:rPr>
        <w:t xml:space="preserve">Dirigida a: </w:t>
      </w:r>
    </w:p>
    <w:p w:rsidR="008C0D55" w:rsidP="008C0D55" w:rsidRDefault="008C0D55" w14:paraId="744A1912" w14:textId="77777777">
      <w:pPr>
        <w:widowControl w:val="0"/>
        <w:spacing w:after="200" w:line="240" w:lineRule="auto"/>
        <w:ind w:right="86"/>
        <w:contextualSpacing/>
        <w:rPr>
          <w:b/>
          <w:bCs/>
          <w:sz w:val="24"/>
          <w:lang w:val="es-CR" w:eastAsia="es-ES"/>
        </w:rPr>
      </w:pPr>
    </w:p>
    <w:p w:rsidRPr="0011522D" w:rsidR="008C0D55" w:rsidP="008C0D55" w:rsidRDefault="008C0D55" w14:paraId="59B0BF46" w14:textId="77777777">
      <w:pPr>
        <w:widowControl w:val="0"/>
        <w:spacing w:after="200" w:line="240" w:lineRule="auto"/>
        <w:ind w:right="86"/>
        <w:contextualSpacing/>
        <w:rPr>
          <w:sz w:val="24"/>
          <w:lang w:val="es-CR" w:eastAsia="es-ES"/>
        </w:rPr>
      </w:pPr>
      <w:r w:rsidRPr="0011522D">
        <w:rPr>
          <w:sz w:val="24"/>
          <w:lang w:val="es-CR" w:eastAsia="es-ES"/>
        </w:rPr>
        <w:t>Banco Nacional de Costa Rica</w:t>
      </w:r>
    </w:p>
    <w:p w:rsidRPr="0011522D" w:rsidR="008C0D55" w:rsidP="008C0D55" w:rsidRDefault="008C0D55" w14:paraId="6CA6C475" w14:textId="77777777">
      <w:pPr>
        <w:widowControl w:val="0"/>
        <w:spacing w:after="200" w:line="240" w:lineRule="auto"/>
        <w:ind w:right="86"/>
        <w:contextualSpacing/>
        <w:rPr>
          <w:sz w:val="24"/>
          <w:lang w:val="es-CR" w:eastAsia="es-ES"/>
        </w:rPr>
      </w:pPr>
      <w:r w:rsidRPr="0011522D">
        <w:rPr>
          <w:sz w:val="24"/>
          <w:lang w:val="es-CR" w:eastAsia="es-ES"/>
        </w:rPr>
        <w:t>Banco Bac San José, S.A.</w:t>
      </w:r>
    </w:p>
    <w:p w:rsidRPr="0011522D" w:rsidR="008C0D55" w:rsidP="008C0D55" w:rsidRDefault="008C0D55" w14:paraId="54CBA926" w14:textId="77777777">
      <w:pPr>
        <w:widowControl w:val="0"/>
        <w:spacing w:after="200" w:line="240" w:lineRule="auto"/>
        <w:ind w:right="86"/>
        <w:contextualSpacing/>
        <w:rPr>
          <w:sz w:val="24"/>
          <w:lang w:val="es-CR" w:eastAsia="es-ES"/>
        </w:rPr>
      </w:pPr>
      <w:r w:rsidRPr="0011522D">
        <w:rPr>
          <w:sz w:val="24"/>
          <w:lang w:val="es-CR" w:eastAsia="es-ES"/>
        </w:rPr>
        <w:t>Coopealianza, R.L.</w:t>
      </w:r>
    </w:p>
    <w:p w:rsidRPr="0011522D" w:rsidR="008C0D55" w:rsidP="008C0D55" w:rsidRDefault="008C0D55" w14:paraId="2424FF55" w14:textId="77777777">
      <w:pPr>
        <w:widowControl w:val="0"/>
        <w:spacing w:after="200" w:line="240" w:lineRule="auto"/>
        <w:ind w:right="86"/>
        <w:contextualSpacing/>
        <w:rPr>
          <w:sz w:val="24"/>
          <w:lang w:val="es-CR" w:eastAsia="es-ES"/>
        </w:rPr>
      </w:pPr>
      <w:r w:rsidRPr="0011522D">
        <w:rPr>
          <w:sz w:val="24"/>
          <w:lang w:val="es-CR" w:eastAsia="es-ES"/>
        </w:rPr>
        <w:t>Financiera Desyfin, S.A.</w:t>
      </w:r>
    </w:p>
    <w:p w:rsidRPr="0011522D" w:rsidR="008C0D55" w:rsidP="008C0D55" w:rsidRDefault="008C0D55" w14:paraId="3A642244" w14:textId="77777777">
      <w:pPr>
        <w:widowControl w:val="0"/>
        <w:spacing w:after="200" w:line="240" w:lineRule="auto"/>
        <w:ind w:right="86"/>
        <w:contextualSpacing/>
        <w:rPr>
          <w:sz w:val="24"/>
          <w:lang w:val="es-CR" w:eastAsia="es-ES"/>
        </w:rPr>
      </w:pPr>
      <w:r w:rsidRPr="0011522D">
        <w:rPr>
          <w:sz w:val="24"/>
          <w:lang w:val="es-CR" w:eastAsia="es-ES"/>
        </w:rPr>
        <w:t>Banco de Costa Rica</w:t>
      </w:r>
    </w:p>
    <w:p w:rsidRPr="0011522D" w:rsidR="008C0D55" w:rsidP="008C0D55" w:rsidRDefault="008C0D55" w14:paraId="2E8361FF" w14:textId="77777777">
      <w:pPr>
        <w:widowControl w:val="0"/>
        <w:spacing w:after="200" w:line="240" w:lineRule="auto"/>
        <w:ind w:right="86"/>
        <w:contextualSpacing/>
        <w:rPr>
          <w:sz w:val="24"/>
          <w:lang w:val="es-CR" w:eastAsia="es-ES"/>
        </w:rPr>
      </w:pPr>
      <w:r w:rsidRPr="0011522D">
        <w:rPr>
          <w:sz w:val="24"/>
          <w:lang w:val="es-CR" w:eastAsia="es-ES"/>
        </w:rPr>
        <w:t>Banco Davivienda (Costa Rica) S.A.</w:t>
      </w:r>
    </w:p>
    <w:p w:rsidRPr="0011522D" w:rsidR="008C0D55" w:rsidP="008C0D55" w:rsidRDefault="008C0D55" w14:paraId="01533E92" w14:textId="77777777">
      <w:pPr>
        <w:widowControl w:val="0"/>
        <w:spacing w:after="200" w:line="240" w:lineRule="auto"/>
        <w:ind w:right="86"/>
        <w:contextualSpacing/>
        <w:rPr>
          <w:sz w:val="24"/>
          <w:lang w:val="es-CR" w:eastAsia="es-ES"/>
        </w:rPr>
      </w:pPr>
      <w:r w:rsidRPr="0011522D">
        <w:rPr>
          <w:sz w:val="24"/>
          <w:lang w:val="es-CR" w:eastAsia="es-ES"/>
        </w:rPr>
        <w:t>Scotiabank de Costa Rica S.A.</w:t>
      </w:r>
    </w:p>
    <w:p w:rsidRPr="0011522D" w:rsidR="008C0D55" w:rsidP="008C0D55" w:rsidRDefault="008C0D55" w14:paraId="71940CBA" w14:textId="77777777">
      <w:pPr>
        <w:widowControl w:val="0"/>
        <w:spacing w:after="200" w:line="240" w:lineRule="auto"/>
        <w:ind w:right="86"/>
        <w:contextualSpacing/>
        <w:rPr>
          <w:sz w:val="24"/>
          <w:lang w:val="es-CR" w:eastAsia="es-ES"/>
        </w:rPr>
      </w:pPr>
      <w:r w:rsidRPr="0011522D">
        <w:rPr>
          <w:sz w:val="24"/>
          <w:lang w:val="es-CR" w:eastAsia="es-ES"/>
        </w:rPr>
        <w:t>Coopeservidores R.L.</w:t>
      </w:r>
    </w:p>
    <w:p w:rsidRPr="0011522D" w:rsidR="008C0D55" w:rsidP="008C0D55" w:rsidRDefault="008C0D55" w14:paraId="57B9236C" w14:textId="77777777">
      <w:pPr>
        <w:widowControl w:val="0"/>
        <w:spacing w:after="200" w:line="240" w:lineRule="auto"/>
        <w:ind w:right="86"/>
        <w:contextualSpacing/>
        <w:rPr>
          <w:sz w:val="24"/>
          <w:lang w:val="es-CR" w:eastAsia="es-ES"/>
        </w:rPr>
      </w:pPr>
      <w:r w:rsidRPr="0011522D">
        <w:rPr>
          <w:sz w:val="24"/>
          <w:lang w:val="es-CR" w:eastAsia="es-ES"/>
        </w:rPr>
        <w:t>Banco Popular y de Desarrollo Comunal</w:t>
      </w:r>
    </w:p>
    <w:p w:rsidRPr="0011522D" w:rsidR="008C0D55" w:rsidP="008C0D55" w:rsidRDefault="008C0D55" w14:paraId="7490C22B" w14:textId="77777777">
      <w:pPr>
        <w:widowControl w:val="0"/>
        <w:spacing w:after="200" w:line="240" w:lineRule="auto"/>
        <w:ind w:right="86"/>
        <w:contextualSpacing/>
        <w:rPr>
          <w:sz w:val="24"/>
          <w:lang w:val="es-CR" w:eastAsia="es-ES"/>
        </w:rPr>
      </w:pPr>
      <w:r w:rsidRPr="0011522D">
        <w:rPr>
          <w:sz w:val="24"/>
          <w:lang w:val="es-CR" w:eastAsia="es-ES"/>
        </w:rPr>
        <w:t>Coopenae, R.L.</w:t>
      </w:r>
    </w:p>
    <w:p w:rsidRPr="0011522D" w:rsidR="008C0D55" w:rsidP="008C0D55" w:rsidRDefault="008C0D55" w14:paraId="7075E6F3" w14:textId="77777777">
      <w:pPr>
        <w:widowControl w:val="0"/>
        <w:spacing w:after="200" w:line="240" w:lineRule="auto"/>
        <w:ind w:right="86"/>
        <w:contextualSpacing/>
        <w:rPr>
          <w:sz w:val="24"/>
          <w:lang w:val="es-CR" w:eastAsia="es-ES"/>
        </w:rPr>
      </w:pPr>
      <w:r w:rsidRPr="0011522D">
        <w:rPr>
          <w:sz w:val="24"/>
          <w:lang w:val="es-CR" w:eastAsia="es-ES"/>
        </w:rPr>
        <w:t>Banco Lafise, S.A.</w:t>
      </w:r>
    </w:p>
    <w:p w:rsidRPr="0011522D" w:rsidR="008C0D55" w:rsidP="008C0D55" w:rsidRDefault="008C0D55" w14:paraId="7629F7E1" w14:textId="77777777">
      <w:pPr>
        <w:widowControl w:val="0"/>
        <w:spacing w:after="200" w:line="240" w:lineRule="auto"/>
        <w:ind w:right="86"/>
        <w:contextualSpacing/>
        <w:rPr>
          <w:sz w:val="24"/>
          <w:lang w:val="es-CR" w:eastAsia="es-ES"/>
        </w:rPr>
      </w:pPr>
      <w:r w:rsidRPr="0011522D">
        <w:rPr>
          <w:sz w:val="24"/>
          <w:lang w:val="es-CR" w:eastAsia="es-ES"/>
        </w:rPr>
        <w:t>Banco Improsa, S.A.</w:t>
      </w:r>
    </w:p>
    <w:p w:rsidRPr="00CA5005" w:rsidR="008C0D55" w:rsidP="008C0D55" w:rsidRDefault="008C0D55" w14:paraId="43175977" w14:textId="77777777">
      <w:pPr>
        <w:widowControl w:val="0"/>
        <w:spacing w:line="240" w:lineRule="auto"/>
        <w:ind w:left="34" w:right="86"/>
        <w:rPr>
          <w:sz w:val="24"/>
          <w:lang w:val="es-CR"/>
        </w:rPr>
      </w:pPr>
    </w:p>
    <w:p w:rsidR="008C0D55" w:rsidP="008C0D55" w:rsidRDefault="008C0D55" w14:paraId="71D00544" w14:textId="77777777">
      <w:pPr>
        <w:spacing w:line="240" w:lineRule="auto"/>
        <w:ind w:left="993" w:hanging="993"/>
        <w:rPr>
          <w:rFonts w:cs="Arial"/>
          <w:b/>
          <w:bCs/>
          <w:sz w:val="28"/>
          <w:szCs w:val="28"/>
          <w:lang w:val="es-CR"/>
        </w:rPr>
      </w:pPr>
    </w:p>
    <w:p w:rsidRPr="00C035EB" w:rsidR="008C0D55" w:rsidP="008C0D55" w:rsidRDefault="008C0D55" w14:paraId="5466F624" w14:textId="5D702349">
      <w:pPr>
        <w:spacing w:line="240" w:lineRule="auto"/>
        <w:ind w:left="993" w:hanging="993"/>
        <w:rPr>
          <w:rFonts w:cs="Arial"/>
          <w:b/>
          <w:bCs/>
          <w:sz w:val="28"/>
          <w:szCs w:val="28"/>
          <w:lang w:val="es-CR"/>
        </w:rPr>
      </w:pPr>
      <w:r w:rsidRPr="00C035EB">
        <w:rPr>
          <w:rFonts w:cs="Arial"/>
          <w:b/>
          <w:bCs/>
          <w:sz w:val="28"/>
          <w:szCs w:val="28"/>
          <w:lang w:val="es-CR"/>
        </w:rPr>
        <w:t>Asunto:</w:t>
      </w:r>
      <w:r w:rsidRPr="00C035EB">
        <w:rPr>
          <w:rFonts w:cs="Arial"/>
          <w:b/>
          <w:bCs/>
          <w:sz w:val="28"/>
          <w:szCs w:val="28"/>
          <w:lang w:val="es-CR"/>
        </w:rPr>
        <w:tab/>
      </w:r>
      <w:bookmarkStart w:name="_Hlk67569101" w:id="3"/>
      <w:r>
        <w:rPr>
          <w:rFonts w:cs="Arial"/>
          <w:b/>
          <w:bCs/>
          <w:sz w:val="28"/>
          <w:szCs w:val="28"/>
          <w:lang w:val="es-CR"/>
        </w:rPr>
        <w:t xml:space="preserve"> </w:t>
      </w:r>
      <w:r w:rsidRPr="00C035EB">
        <w:rPr>
          <w:rFonts w:cs="Arial"/>
          <w:b/>
          <w:bCs/>
          <w:sz w:val="28"/>
          <w:szCs w:val="28"/>
          <w:lang w:val="es-CR"/>
        </w:rPr>
        <w:t xml:space="preserve">Plan piloto </w:t>
      </w:r>
      <w:r w:rsidR="00F0594C">
        <w:rPr>
          <w:rFonts w:cs="Arial"/>
          <w:b/>
          <w:bCs/>
          <w:sz w:val="28"/>
          <w:szCs w:val="28"/>
          <w:lang w:val="es-CR"/>
        </w:rPr>
        <w:t xml:space="preserve">de Uso </w:t>
      </w:r>
      <w:r w:rsidRPr="00C035EB">
        <w:rPr>
          <w:rFonts w:cs="Arial"/>
          <w:b/>
          <w:bCs/>
          <w:sz w:val="28"/>
          <w:szCs w:val="28"/>
          <w:lang w:val="es-CR"/>
        </w:rPr>
        <w:t>del Centro de Información Conozca a su Cliente (CICAC)</w:t>
      </w:r>
    </w:p>
    <w:bookmarkEnd w:id="3"/>
    <w:p w:rsidRPr="00CA5005" w:rsidR="008C0D55" w:rsidP="008C0D55" w:rsidRDefault="008C0D55" w14:paraId="0CFDA769" w14:textId="77777777">
      <w:pPr>
        <w:spacing w:line="240" w:lineRule="auto"/>
        <w:rPr>
          <w:rFonts w:cs="Arial"/>
          <w:b/>
          <w:bCs/>
          <w:sz w:val="24"/>
          <w:lang w:val="es-CR"/>
        </w:rPr>
      </w:pPr>
    </w:p>
    <w:p w:rsidR="008C0D55" w:rsidP="008C0D55" w:rsidRDefault="008C0D55" w14:paraId="7A0C22EF" w14:textId="77777777">
      <w:pPr>
        <w:spacing w:line="240" w:lineRule="auto"/>
        <w:rPr>
          <w:rFonts w:cs="Arial"/>
          <w:b/>
          <w:bCs/>
          <w:sz w:val="24"/>
          <w:lang w:val="es-CR"/>
        </w:rPr>
      </w:pPr>
    </w:p>
    <w:p w:rsidRPr="00CA5005" w:rsidR="008C0D55" w:rsidP="008C0D55" w:rsidRDefault="001D7820" w14:paraId="3EA52914" w14:textId="215C5FDB">
      <w:pPr>
        <w:spacing w:line="240" w:lineRule="auto"/>
        <w:rPr>
          <w:rFonts w:cs="Arial"/>
          <w:b/>
          <w:bCs/>
          <w:sz w:val="24"/>
          <w:lang w:val="es-CR"/>
        </w:rPr>
      </w:pPr>
      <w:r>
        <w:rPr>
          <w:rFonts w:cs="Arial"/>
          <w:b/>
          <w:bCs/>
          <w:sz w:val="24"/>
          <w:lang w:val="es-CR"/>
        </w:rPr>
        <w:t>La Superi</w:t>
      </w:r>
      <w:r w:rsidRPr="00CA5005" w:rsidR="008C0D55">
        <w:rPr>
          <w:rFonts w:cs="Arial"/>
          <w:b/>
          <w:bCs/>
          <w:sz w:val="24"/>
          <w:lang w:val="es-CR"/>
        </w:rPr>
        <w:t>ntendente General de Entidades Financieras</w:t>
      </w:r>
      <w:r>
        <w:rPr>
          <w:rFonts w:cs="Arial"/>
          <w:b/>
          <w:bCs/>
          <w:sz w:val="24"/>
          <w:lang w:val="es-CR"/>
        </w:rPr>
        <w:t>,</w:t>
      </w:r>
    </w:p>
    <w:p w:rsidRPr="00CA5005" w:rsidR="008C0D55" w:rsidP="008C0D55" w:rsidRDefault="008C0D55" w14:paraId="6125C0A7" w14:textId="77777777">
      <w:pPr>
        <w:spacing w:line="240" w:lineRule="auto"/>
        <w:rPr>
          <w:rFonts w:cs="Arial"/>
          <w:bCs/>
          <w:sz w:val="24"/>
          <w:lang w:val="es-CR"/>
        </w:rPr>
      </w:pPr>
    </w:p>
    <w:p w:rsidRPr="00CA5005" w:rsidR="008C0D55" w:rsidP="008C0D55" w:rsidRDefault="008C0D55" w14:paraId="7C4FCF5A" w14:textId="77777777">
      <w:pPr>
        <w:spacing w:line="240" w:lineRule="auto"/>
        <w:rPr>
          <w:rFonts w:cs="Arial"/>
          <w:b/>
          <w:sz w:val="24"/>
          <w:lang w:val="es-CR"/>
        </w:rPr>
      </w:pPr>
      <w:r w:rsidRPr="00CA5005">
        <w:rPr>
          <w:rFonts w:cs="Arial"/>
          <w:b/>
          <w:bCs/>
          <w:sz w:val="24"/>
          <w:lang w:val="es-CR"/>
        </w:rPr>
        <w:t>Considerando que</w:t>
      </w:r>
      <w:r w:rsidRPr="00CA5005">
        <w:rPr>
          <w:rFonts w:cs="Arial"/>
          <w:b/>
          <w:sz w:val="24"/>
          <w:lang w:val="es-CR"/>
        </w:rPr>
        <w:t>:</w:t>
      </w:r>
    </w:p>
    <w:p w:rsidRPr="00CA5005" w:rsidR="008C0D55" w:rsidP="008C0D55" w:rsidRDefault="008C0D55" w14:paraId="1CD2B107" w14:textId="77777777">
      <w:pPr>
        <w:spacing w:line="240" w:lineRule="auto"/>
        <w:rPr>
          <w:rFonts w:cs="Arial"/>
          <w:b/>
          <w:sz w:val="24"/>
          <w:lang w:val="es-CR"/>
        </w:rPr>
      </w:pPr>
    </w:p>
    <w:p w:rsidRPr="00CA5005" w:rsidR="008C0D55" w:rsidP="008C0D55" w:rsidRDefault="008C0D55" w14:paraId="59DE08AC" w14:textId="77777777">
      <w:pPr>
        <w:numPr>
          <w:ilvl w:val="0"/>
          <w:numId w:val="3"/>
        </w:numPr>
        <w:spacing w:line="240" w:lineRule="auto"/>
        <w:contextualSpacing/>
        <w:rPr>
          <w:sz w:val="24"/>
        </w:rPr>
      </w:pPr>
      <w:r w:rsidRPr="00CA5005">
        <w:rPr>
          <w:sz w:val="24"/>
        </w:rPr>
        <w:t>Mediante la Ley N</w:t>
      </w:r>
      <w:r>
        <w:rPr>
          <w:sz w:val="24"/>
        </w:rPr>
        <w:t>º</w:t>
      </w:r>
      <w:r w:rsidRPr="00CA5005">
        <w:rPr>
          <w:sz w:val="24"/>
        </w:rPr>
        <w:t xml:space="preserve">9449 del 10 de mayo del 2017, la Asamblea Legislativa decretó la </w:t>
      </w:r>
      <w:r w:rsidRPr="00CA5005">
        <w:rPr>
          <w:i/>
          <w:sz w:val="24"/>
        </w:rPr>
        <w:t>“Reforma de los artículos 15, 15 bis, 16, 81 y adición de los artículos 15 ter y 16 bis a la ley N</w:t>
      </w:r>
      <w:r>
        <w:rPr>
          <w:i/>
          <w:sz w:val="24"/>
        </w:rPr>
        <w:t>º</w:t>
      </w:r>
      <w:r w:rsidRPr="00CA5005">
        <w:rPr>
          <w:i/>
          <w:sz w:val="24"/>
        </w:rPr>
        <w:t>7786, ley sobre estupefacientes, sustancias psicotrópicas, drogas de uso no autorizado, actividades conexas, legitimación de capitales y financiamiento al terrorismo, de 30 de abril de 1998”</w:t>
      </w:r>
      <w:r w:rsidRPr="00CA5005">
        <w:rPr>
          <w:sz w:val="24"/>
        </w:rPr>
        <w:t xml:space="preserve">; </w:t>
      </w:r>
      <w:r w:rsidRPr="00CA5005">
        <w:rPr>
          <w:rFonts w:cstheme="majorHAnsi"/>
          <w:sz w:val="24"/>
          <w:lang w:val="es-CR" w:eastAsia="es-CR"/>
        </w:rPr>
        <w:t>una de las mejoras obtenidas con la aprobación de la Ley 9449, es la inclusión del artículo 16 bis, el cual le ordena a la Superintendencia General de Entidades Financieras (SUGEF) crear una base de datos con información de la política conozca a su cliente, que centralice la información del cliente, para evitar la duplicidad e inconsistencias en la información proporcionada por el mismo.</w:t>
      </w:r>
    </w:p>
    <w:p w:rsidRPr="00CA5005" w:rsidR="008C0D55" w:rsidP="008C0D55" w:rsidRDefault="008C0D55" w14:paraId="35FF91FD" w14:textId="77777777">
      <w:pPr>
        <w:spacing w:line="240" w:lineRule="auto"/>
        <w:contextualSpacing/>
        <w:rPr>
          <w:sz w:val="24"/>
          <w:highlight w:val="yellow"/>
        </w:rPr>
      </w:pPr>
    </w:p>
    <w:p w:rsidRPr="0061120E" w:rsidR="008C0D55" w:rsidP="008C0D55" w:rsidRDefault="008C0D55" w14:paraId="28907925" w14:textId="30E17BC1">
      <w:pPr>
        <w:numPr>
          <w:ilvl w:val="0"/>
          <w:numId w:val="3"/>
        </w:numPr>
        <w:spacing w:line="240" w:lineRule="auto"/>
        <w:contextualSpacing/>
        <w:rPr>
          <w:sz w:val="24"/>
        </w:rPr>
      </w:pPr>
      <w:r w:rsidRPr="0061120E">
        <w:rPr>
          <w:sz w:val="24"/>
        </w:rPr>
        <w:lastRenderedPageBreak/>
        <w:t>Dado</w:t>
      </w:r>
      <w:r w:rsidR="00AA0306">
        <w:rPr>
          <w:sz w:val="24"/>
        </w:rPr>
        <w:t>s</w:t>
      </w:r>
      <w:r w:rsidRPr="0061120E">
        <w:rPr>
          <w:sz w:val="24"/>
        </w:rPr>
        <w:t xml:space="preserve"> los resultados de la Evaluación Mutua de Costa Rica realizada en el 2015 por GAFILAT, las consecuentes modificaciones en la Ley 7786 y la necesidad de fortalecer el enfoque basado en riesgos y el gobierno corporativo, fue necesario revisar integralmente la </w:t>
      </w:r>
      <w:r w:rsidRPr="0061120E">
        <w:rPr>
          <w:rFonts w:cstheme="majorHAnsi"/>
          <w:sz w:val="24"/>
          <w:lang w:val="es-CR" w:eastAsia="es-CR"/>
        </w:rPr>
        <w:t>Normativa para el cumplimiento de la Ley N° 8204</w:t>
      </w:r>
      <w:r w:rsidRPr="0061120E">
        <w:rPr>
          <w:sz w:val="24"/>
        </w:rPr>
        <w:t>, determinando que se debía alinear el marco normativo a las nuevas disposiciones y recomendaciones, de manera que esto contribuya en mayor medida a la prevención de los riesgos de LC/FT/FPADM, y con el mismo objetivo, emitir la reglamentación necesaria para la operación del Centro de Información Conozca a su Cliente (CICAC)</w:t>
      </w:r>
    </w:p>
    <w:p w:rsidRPr="00CA5005" w:rsidR="008C0D55" w:rsidP="008C0D55" w:rsidRDefault="008C0D55" w14:paraId="498438F0" w14:textId="77777777">
      <w:pPr>
        <w:spacing w:line="240" w:lineRule="auto"/>
        <w:ind w:left="360"/>
        <w:contextualSpacing/>
        <w:rPr>
          <w:sz w:val="24"/>
          <w:highlight w:val="yellow"/>
        </w:rPr>
      </w:pPr>
    </w:p>
    <w:p w:rsidRPr="00CA5005" w:rsidR="008C0D55" w:rsidP="008C0D55" w:rsidRDefault="008C0D55" w14:paraId="70892760" w14:textId="0CC373FA">
      <w:pPr>
        <w:numPr>
          <w:ilvl w:val="0"/>
          <w:numId w:val="3"/>
        </w:numPr>
        <w:spacing w:line="240" w:lineRule="auto"/>
        <w:contextualSpacing/>
        <w:rPr>
          <w:i/>
          <w:sz w:val="24"/>
          <w:lang w:eastAsia="es-ES"/>
        </w:rPr>
      </w:pPr>
      <w:r w:rsidRPr="00CA5005">
        <w:rPr>
          <w:sz w:val="24"/>
        </w:rPr>
        <w:t>El Consejo Nacional de Supervisión del Sistema Financiero, en los artículos 7, del acta de la sesión 1637-2021 y 6 del acta de la sesión 1638-2021, celebradas el 18 de enero de 2021</w:t>
      </w:r>
      <w:r>
        <w:rPr>
          <w:sz w:val="24"/>
        </w:rPr>
        <w:t>,</w:t>
      </w:r>
      <w:r w:rsidRPr="00CA5005">
        <w:rPr>
          <w:sz w:val="24"/>
        </w:rPr>
        <w:t xml:space="preserve"> resolvió aprobar en firme el </w:t>
      </w:r>
      <w:r w:rsidRPr="00CA5005">
        <w:rPr>
          <w:i/>
          <w:iCs/>
          <w:sz w:val="24"/>
        </w:rPr>
        <w:t>R</w:t>
      </w:r>
      <w:r w:rsidRPr="00CA5005">
        <w:rPr>
          <w:i/>
          <w:sz w:val="24"/>
          <w:lang w:eastAsia="es-ES"/>
        </w:rPr>
        <w:t>eglamento del Centro de Información Conozca a su Cliente (CICAC)</w:t>
      </w:r>
      <w:r w:rsidR="00C96170">
        <w:rPr>
          <w:i/>
          <w:sz w:val="24"/>
          <w:lang w:eastAsia="es-ES"/>
        </w:rPr>
        <w:t>.</w:t>
      </w:r>
    </w:p>
    <w:p w:rsidRPr="00CA5005" w:rsidR="008C0D55" w:rsidP="008C0D55" w:rsidRDefault="008C0D55" w14:paraId="58B8860F" w14:textId="77777777">
      <w:pPr>
        <w:spacing w:line="240" w:lineRule="auto"/>
        <w:rPr>
          <w:i/>
          <w:sz w:val="24"/>
          <w:lang w:eastAsia="es-ES"/>
        </w:rPr>
      </w:pPr>
    </w:p>
    <w:p w:rsidRPr="00CA5005" w:rsidR="008C0D55" w:rsidP="008C0D55" w:rsidRDefault="008C0D55" w14:paraId="39FBD4C7" w14:textId="77777777">
      <w:pPr>
        <w:numPr>
          <w:ilvl w:val="0"/>
          <w:numId w:val="3"/>
        </w:numPr>
        <w:spacing w:line="240" w:lineRule="auto"/>
        <w:contextualSpacing/>
        <w:rPr>
          <w:sz w:val="24"/>
        </w:rPr>
      </w:pPr>
      <w:r w:rsidRPr="00CA5005">
        <w:rPr>
          <w:sz w:val="24"/>
        </w:rPr>
        <w:t>El Reglamento del Centro de Información Conozca a su Cliente (CICAC), fue publicado en el alcance Nº17 a la Gaceta Nº19 del 28 de enero de 2021.</w:t>
      </w:r>
    </w:p>
    <w:p w:rsidRPr="00CA5005" w:rsidR="008C0D55" w:rsidP="008C0D55" w:rsidRDefault="008C0D55" w14:paraId="0D1E9C48" w14:textId="77777777">
      <w:pPr>
        <w:spacing w:line="240" w:lineRule="auto"/>
        <w:contextualSpacing/>
        <w:rPr>
          <w:sz w:val="24"/>
        </w:rPr>
      </w:pPr>
    </w:p>
    <w:p w:rsidRPr="00355C3F" w:rsidR="008C0D55" w:rsidP="008C0D55" w:rsidRDefault="008C0D55" w14:paraId="6A5E1C4B" w14:textId="1CF3CA76">
      <w:pPr>
        <w:numPr>
          <w:ilvl w:val="0"/>
          <w:numId w:val="3"/>
        </w:numPr>
        <w:spacing w:line="240" w:lineRule="auto"/>
        <w:contextualSpacing/>
        <w:rPr>
          <w:sz w:val="24"/>
          <w:lang w:val="es-CR"/>
        </w:rPr>
      </w:pPr>
      <w:r>
        <w:rPr>
          <w:sz w:val="24"/>
          <w:lang w:val="es-CR"/>
        </w:rPr>
        <w:t xml:space="preserve">Los Lineamientos operativos para el funcionamiento, acceso y uso del Centro de </w:t>
      </w:r>
      <w:r w:rsidR="00C96170">
        <w:rPr>
          <w:sz w:val="24"/>
          <w:lang w:val="es-CR"/>
        </w:rPr>
        <w:t>I</w:t>
      </w:r>
      <w:r>
        <w:rPr>
          <w:sz w:val="24"/>
          <w:lang w:val="es-CR"/>
        </w:rPr>
        <w:t xml:space="preserve">nformación </w:t>
      </w:r>
      <w:r w:rsidR="00C96170">
        <w:rPr>
          <w:sz w:val="24"/>
          <w:lang w:val="es-CR"/>
        </w:rPr>
        <w:t>C</w:t>
      </w:r>
      <w:r>
        <w:rPr>
          <w:sz w:val="24"/>
          <w:lang w:val="es-CR"/>
        </w:rPr>
        <w:t xml:space="preserve">onozca a su </w:t>
      </w:r>
      <w:r w:rsidR="00C96170">
        <w:rPr>
          <w:sz w:val="24"/>
          <w:lang w:val="es-CR"/>
        </w:rPr>
        <w:t>C</w:t>
      </w:r>
      <w:r>
        <w:rPr>
          <w:sz w:val="24"/>
          <w:lang w:val="es-CR"/>
        </w:rPr>
        <w:t>liente, Acuerdo SUGEF 12-21, fueron publicados en el alcance Nº75 a la Gaceta Nº73 del 16 de abril de 2021.</w:t>
      </w:r>
    </w:p>
    <w:p w:rsidRPr="008B7BE3" w:rsidR="008C0D55" w:rsidP="008C0D55" w:rsidRDefault="008C0D55" w14:paraId="3770548B" w14:textId="77777777">
      <w:pPr>
        <w:pStyle w:val="Prrafodelista"/>
        <w:rPr>
          <w:sz w:val="24"/>
          <w:lang w:val="es-CR"/>
        </w:rPr>
      </w:pPr>
    </w:p>
    <w:p w:rsidR="008C0D55" w:rsidP="008C0D55" w:rsidRDefault="008C0D55" w14:paraId="6B683687" w14:textId="6682E6E5">
      <w:pPr>
        <w:numPr>
          <w:ilvl w:val="0"/>
          <w:numId w:val="3"/>
        </w:numPr>
        <w:spacing w:line="240" w:lineRule="auto"/>
        <w:contextualSpacing/>
        <w:rPr>
          <w:sz w:val="24"/>
        </w:rPr>
      </w:pPr>
      <w:r w:rsidRPr="008B7BE3">
        <w:rPr>
          <w:sz w:val="24"/>
        </w:rPr>
        <w:t>La disposición “Vigencia” para el Reglamento del CICAC, establece que este reglamento entrar</w:t>
      </w:r>
      <w:r w:rsidR="00C96170">
        <w:rPr>
          <w:sz w:val="24"/>
        </w:rPr>
        <w:t>á</w:t>
      </w:r>
      <w:r w:rsidRPr="008B7BE3">
        <w:rPr>
          <w:sz w:val="24"/>
        </w:rPr>
        <w:t xml:space="preserve"> en vigor</w:t>
      </w:r>
      <w:r>
        <w:rPr>
          <w:sz w:val="24"/>
        </w:rPr>
        <w:t xml:space="preserve"> el</w:t>
      </w:r>
      <w:r w:rsidRPr="008B7BE3">
        <w:rPr>
          <w:sz w:val="24"/>
        </w:rPr>
        <w:t xml:space="preserve"> 1º de enero de 2022.</w:t>
      </w:r>
    </w:p>
    <w:p w:rsidR="008C0D55" w:rsidP="008C0D55" w:rsidRDefault="008C0D55" w14:paraId="1800D7AD" w14:textId="77777777">
      <w:pPr>
        <w:pStyle w:val="Prrafodelista"/>
        <w:rPr>
          <w:sz w:val="24"/>
        </w:rPr>
      </w:pPr>
    </w:p>
    <w:p w:rsidRPr="009E758E" w:rsidR="008C0D55" w:rsidP="008C0D55" w:rsidRDefault="008C0D55" w14:paraId="735EBA6C" w14:textId="77777777">
      <w:pPr>
        <w:numPr>
          <w:ilvl w:val="0"/>
          <w:numId w:val="3"/>
        </w:numPr>
        <w:spacing w:line="240" w:lineRule="auto"/>
        <w:contextualSpacing/>
        <w:rPr>
          <w:sz w:val="24"/>
        </w:rPr>
      </w:pPr>
      <w:r>
        <w:rPr>
          <w:sz w:val="24"/>
        </w:rPr>
        <w:t>En el transitorio segundo del Reglamento del CICAC, se dispone que: “</w:t>
      </w:r>
      <w:r w:rsidRPr="000E237A">
        <w:rPr>
          <w:rFonts w:cs="Cambria" w:eastAsiaTheme="minorHAnsi"/>
          <w:i/>
          <w:iCs/>
          <w:sz w:val="24"/>
          <w:lang w:val="es-CR"/>
        </w:rPr>
        <w:t>En un plazo de ocho meses a partir de la publicación de este reglamento en el Diario</w:t>
      </w:r>
      <w:r>
        <w:rPr>
          <w:rFonts w:cs="Cambria" w:eastAsiaTheme="minorHAnsi"/>
          <w:i/>
          <w:iCs/>
          <w:sz w:val="24"/>
          <w:lang w:val="es-CR"/>
        </w:rPr>
        <w:t xml:space="preserve"> </w:t>
      </w:r>
      <w:r w:rsidRPr="000E237A">
        <w:rPr>
          <w:rFonts w:cs="Cambria" w:eastAsiaTheme="minorHAnsi"/>
          <w:i/>
          <w:iCs/>
          <w:sz w:val="24"/>
          <w:lang w:val="es-CR"/>
        </w:rPr>
        <w:t>Oficial ‘La Gaceta’, la Sugef ejecutará un plan piloto para el uso del CICAC en ambiente</w:t>
      </w:r>
      <w:r>
        <w:rPr>
          <w:rFonts w:cs="Cambria" w:eastAsiaTheme="minorHAnsi"/>
          <w:i/>
          <w:iCs/>
          <w:sz w:val="24"/>
          <w:lang w:val="es-CR"/>
        </w:rPr>
        <w:t xml:space="preserve"> </w:t>
      </w:r>
      <w:r w:rsidRPr="000E237A">
        <w:rPr>
          <w:rFonts w:cs="Cambria" w:eastAsiaTheme="minorHAnsi"/>
          <w:i/>
          <w:iCs/>
          <w:sz w:val="24"/>
          <w:lang w:val="es-CR"/>
        </w:rPr>
        <w:t>de producción por parte de los sujetos obligados, para lo cual por medio de Resolución</w:t>
      </w:r>
      <w:r>
        <w:rPr>
          <w:rFonts w:cs="Cambria" w:eastAsiaTheme="minorHAnsi"/>
          <w:i/>
          <w:iCs/>
          <w:sz w:val="24"/>
          <w:lang w:val="es-CR"/>
        </w:rPr>
        <w:t xml:space="preserve"> </w:t>
      </w:r>
      <w:r w:rsidRPr="000E237A">
        <w:rPr>
          <w:rFonts w:cs="Cambria" w:eastAsiaTheme="minorHAnsi"/>
          <w:i/>
          <w:iCs/>
          <w:sz w:val="24"/>
          <w:lang w:val="es-CR"/>
        </w:rPr>
        <w:t>del Superintendente establecerá la forma, plazo, participantes y demás condiciones de</w:t>
      </w:r>
      <w:r>
        <w:rPr>
          <w:rFonts w:cs="Cambria" w:eastAsiaTheme="minorHAnsi"/>
          <w:i/>
          <w:iCs/>
          <w:sz w:val="24"/>
          <w:lang w:val="es-CR"/>
        </w:rPr>
        <w:t xml:space="preserve"> </w:t>
      </w:r>
      <w:r w:rsidRPr="000E237A">
        <w:rPr>
          <w:rFonts w:cs="Cambria" w:eastAsiaTheme="minorHAnsi"/>
          <w:i/>
          <w:iCs/>
          <w:sz w:val="24"/>
          <w:lang w:val="es-CR"/>
        </w:rPr>
        <w:t>este plan piloto</w:t>
      </w:r>
      <w:r>
        <w:rPr>
          <w:rFonts w:cs="Cambria" w:eastAsiaTheme="minorHAnsi"/>
          <w:i/>
          <w:iCs/>
          <w:sz w:val="24"/>
          <w:lang w:val="es-CR"/>
        </w:rPr>
        <w:t xml:space="preserve">” </w:t>
      </w:r>
    </w:p>
    <w:p w:rsidRPr="00CA5005" w:rsidR="008C0D55" w:rsidP="008C0D55" w:rsidRDefault="008C0D55" w14:paraId="1422B261" w14:textId="77777777">
      <w:pPr>
        <w:spacing w:line="240" w:lineRule="auto"/>
        <w:contextualSpacing/>
        <w:rPr>
          <w:sz w:val="24"/>
        </w:rPr>
      </w:pPr>
    </w:p>
    <w:p w:rsidR="008C0D55" w:rsidP="008C0D55" w:rsidRDefault="008C0D55" w14:paraId="1221F182" w14:textId="054F6DE8">
      <w:pPr>
        <w:numPr>
          <w:ilvl w:val="0"/>
          <w:numId w:val="3"/>
        </w:numPr>
        <w:spacing w:line="240" w:lineRule="auto"/>
        <w:contextualSpacing/>
        <w:outlineLvl w:val="0"/>
        <w:rPr>
          <w:sz w:val="24"/>
          <w:lang w:eastAsia="es-ES"/>
        </w:rPr>
      </w:pPr>
      <w:r>
        <w:rPr>
          <w:sz w:val="24"/>
          <w:lang w:eastAsia="es-ES"/>
        </w:rPr>
        <w:t xml:space="preserve">Para un mayor control del proceso y una mejor capacidad de respuesta por parte de la </w:t>
      </w:r>
      <w:r w:rsidR="00103ABD">
        <w:rPr>
          <w:sz w:val="24"/>
          <w:lang w:eastAsia="es-ES"/>
        </w:rPr>
        <w:t>S</w:t>
      </w:r>
      <w:r>
        <w:rPr>
          <w:sz w:val="24"/>
          <w:lang w:eastAsia="es-ES"/>
        </w:rPr>
        <w:t>uperintendencia, el plan piloto será ejecutado por fases</w:t>
      </w:r>
      <w:r w:rsidR="00103ABD">
        <w:rPr>
          <w:sz w:val="24"/>
          <w:lang w:eastAsia="es-ES"/>
        </w:rPr>
        <w:t>,</w:t>
      </w:r>
      <w:r>
        <w:rPr>
          <w:sz w:val="24"/>
          <w:lang w:eastAsia="es-ES"/>
        </w:rPr>
        <w:t xml:space="preserve"> en cada fase participar</w:t>
      </w:r>
      <w:r w:rsidR="00103ABD">
        <w:rPr>
          <w:sz w:val="24"/>
          <w:lang w:eastAsia="es-ES"/>
        </w:rPr>
        <w:t>á</w:t>
      </w:r>
      <w:r>
        <w:rPr>
          <w:sz w:val="24"/>
          <w:lang w:eastAsia="es-ES"/>
        </w:rPr>
        <w:t xml:space="preserve"> un grupo determinado de entidades. </w:t>
      </w:r>
    </w:p>
    <w:p w:rsidRPr="009E758E" w:rsidR="008C0D55" w:rsidP="008C0D55" w:rsidRDefault="008C0D55" w14:paraId="3B3AB988" w14:textId="77777777">
      <w:pPr>
        <w:spacing w:line="240" w:lineRule="auto"/>
        <w:ind w:left="360"/>
        <w:contextualSpacing/>
        <w:rPr>
          <w:sz w:val="24"/>
        </w:rPr>
      </w:pPr>
    </w:p>
    <w:p w:rsidR="008C0D55" w:rsidP="008C0D55" w:rsidRDefault="008C0D55" w14:paraId="56EC5DD0" w14:textId="0BDD00E9">
      <w:pPr>
        <w:numPr>
          <w:ilvl w:val="0"/>
          <w:numId w:val="3"/>
        </w:numPr>
        <w:spacing w:line="240" w:lineRule="auto"/>
        <w:contextualSpacing/>
        <w:outlineLvl w:val="0"/>
        <w:rPr>
          <w:sz w:val="24"/>
          <w:lang w:eastAsia="es-ES"/>
        </w:rPr>
      </w:pPr>
      <w:r>
        <w:rPr>
          <w:sz w:val="24"/>
          <w:lang w:eastAsia="es-ES"/>
        </w:rPr>
        <w:t xml:space="preserve">Para realizar el plan piloto se requiere de la participación de entidades </w:t>
      </w:r>
      <w:r w:rsidR="0046175C">
        <w:rPr>
          <w:sz w:val="24"/>
          <w:lang w:eastAsia="es-ES"/>
        </w:rPr>
        <w:t xml:space="preserve">financieras </w:t>
      </w:r>
      <w:r>
        <w:rPr>
          <w:sz w:val="24"/>
          <w:lang w:eastAsia="es-ES"/>
        </w:rPr>
        <w:t xml:space="preserve">que tengan mayor representatividad en el Sistema Financiero Nacional, de acuerdo con los diferentes tipos de entidades que conforman los sujetos obligados de la Sugef, entre estos, bancos públicos, bancos privados, cooperativas y </w:t>
      </w:r>
      <w:r w:rsidR="0046175C">
        <w:rPr>
          <w:sz w:val="24"/>
          <w:lang w:eastAsia="es-ES"/>
        </w:rPr>
        <w:t xml:space="preserve">entidades </w:t>
      </w:r>
      <w:r>
        <w:rPr>
          <w:sz w:val="24"/>
          <w:lang w:eastAsia="es-ES"/>
        </w:rPr>
        <w:t>financieras</w:t>
      </w:r>
      <w:r w:rsidR="0046175C">
        <w:rPr>
          <w:sz w:val="24"/>
          <w:lang w:eastAsia="es-ES"/>
        </w:rPr>
        <w:t xml:space="preserve">; </w:t>
      </w:r>
      <w:r>
        <w:rPr>
          <w:sz w:val="24"/>
          <w:lang w:eastAsia="es-ES"/>
        </w:rPr>
        <w:t xml:space="preserve">y que </w:t>
      </w:r>
      <w:r w:rsidR="0046175C">
        <w:rPr>
          <w:sz w:val="24"/>
          <w:lang w:eastAsia="es-ES"/>
        </w:rPr>
        <w:t>cuenten con usuarios que hayan alcanzado la</w:t>
      </w:r>
      <w:r>
        <w:rPr>
          <w:sz w:val="24"/>
          <w:lang w:eastAsia="es-ES"/>
        </w:rPr>
        <w:t xml:space="preserve"> </w:t>
      </w:r>
      <w:r w:rsidR="0046175C">
        <w:rPr>
          <w:sz w:val="24"/>
          <w:lang w:eastAsia="es-ES"/>
        </w:rPr>
        <w:t>C</w:t>
      </w:r>
      <w:r>
        <w:rPr>
          <w:sz w:val="24"/>
          <w:lang w:eastAsia="es-ES"/>
        </w:rPr>
        <w:t>ertifica</w:t>
      </w:r>
      <w:r w:rsidR="0046175C">
        <w:rPr>
          <w:sz w:val="24"/>
          <w:lang w:eastAsia="es-ES"/>
        </w:rPr>
        <w:t xml:space="preserve">ción para el uso </w:t>
      </w:r>
      <w:r>
        <w:rPr>
          <w:sz w:val="24"/>
          <w:lang w:eastAsia="es-ES"/>
        </w:rPr>
        <w:t xml:space="preserve">del CICAC. </w:t>
      </w:r>
    </w:p>
    <w:p w:rsidR="008323ED" w:rsidP="008323ED" w:rsidRDefault="008323ED" w14:paraId="098FD7D2" w14:textId="77777777">
      <w:pPr>
        <w:pStyle w:val="Prrafodelista"/>
        <w:rPr>
          <w:sz w:val="24"/>
          <w:lang w:eastAsia="es-ES"/>
        </w:rPr>
      </w:pPr>
    </w:p>
    <w:p w:rsidR="008323ED" w:rsidP="008323ED" w:rsidRDefault="008323ED" w14:paraId="6E574CD5" w14:textId="1ECF3154">
      <w:pPr>
        <w:numPr>
          <w:ilvl w:val="0"/>
          <w:numId w:val="3"/>
        </w:numPr>
        <w:spacing w:line="240" w:lineRule="auto"/>
        <w:contextualSpacing/>
        <w:outlineLvl w:val="0"/>
        <w:rPr>
          <w:sz w:val="24"/>
          <w:lang w:eastAsia="es-ES"/>
        </w:rPr>
      </w:pPr>
      <w:r>
        <w:rPr>
          <w:sz w:val="24"/>
          <w:lang w:eastAsia="es-ES"/>
        </w:rPr>
        <w:t xml:space="preserve">El sistema CICAC es un servicio web que se accede a través de Sugef Directo. </w:t>
      </w:r>
    </w:p>
    <w:p w:rsidR="008323ED" w:rsidP="003C4A7D" w:rsidRDefault="008323ED" w14:paraId="3878B3A0" w14:textId="77777777">
      <w:pPr>
        <w:spacing w:line="240" w:lineRule="auto"/>
        <w:ind w:left="360"/>
        <w:contextualSpacing/>
        <w:outlineLvl w:val="0"/>
        <w:rPr>
          <w:sz w:val="24"/>
          <w:lang w:eastAsia="es-ES"/>
        </w:rPr>
      </w:pPr>
    </w:p>
    <w:p w:rsidR="008C0D55" w:rsidP="008C0D55" w:rsidRDefault="008C0D55" w14:paraId="44D7D25F" w14:textId="234686E1">
      <w:pPr>
        <w:spacing w:line="240" w:lineRule="auto"/>
        <w:contextualSpacing/>
        <w:outlineLvl w:val="0"/>
        <w:rPr>
          <w:sz w:val="24"/>
          <w:lang w:eastAsia="es-ES"/>
        </w:rPr>
      </w:pPr>
    </w:p>
    <w:p w:rsidRPr="009E758E" w:rsidR="00861FC7" w:rsidP="008C0D55" w:rsidRDefault="00861FC7" w14:paraId="63B122E1" w14:textId="77777777">
      <w:pPr>
        <w:spacing w:line="240" w:lineRule="auto"/>
        <w:contextualSpacing/>
        <w:outlineLvl w:val="0"/>
        <w:rPr>
          <w:sz w:val="24"/>
          <w:lang w:eastAsia="es-ES"/>
        </w:rPr>
      </w:pPr>
    </w:p>
    <w:p w:rsidRPr="008B7BE3" w:rsidR="008C0D55" w:rsidP="008C0D55" w:rsidRDefault="008C0D55" w14:paraId="40CB27D4" w14:textId="77777777">
      <w:pPr>
        <w:spacing w:line="240" w:lineRule="auto"/>
        <w:rPr>
          <w:b/>
          <w:sz w:val="24"/>
          <w:lang w:val="es-CR"/>
        </w:rPr>
      </w:pPr>
      <w:r w:rsidRPr="008B7BE3">
        <w:rPr>
          <w:b/>
          <w:bCs/>
          <w:sz w:val="24"/>
          <w:lang w:val="es-CR"/>
        </w:rPr>
        <w:t>Dispone</w:t>
      </w:r>
      <w:r w:rsidRPr="008B7BE3">
        <w:rPr>
          <w:b/>
          <w:sz w:val="24"/>
          <w:lang w:val="es-CR"/>
        </w:rPr>
        <w:t>:</w:t>
      </w:r>
    </w:p>
    <w:p w:rsidR="008C0D55" w:rsidP="008C0D55" w:rsidRDefault="008C0D55" w14:paraId="4CC3B71F" w14:textId="3209F917">
      <w:pPr>
        <w:pStyle w:val="Texto"/>
        <w:spacing w:before="0" w:after="0" w:line="240" w:lineRule="auto"/>
        <w:rPr>
          <w:sz w:val="24"/>
        </w:rPr>
      </w:pPr>
    </w:p>
    <w:p w:rsidR="004D5AD3" w:rsidP="008C0D55" w:rsidRDefault="004D5AD3" w14:paraId="43A5B176" w14:textId="77777777">
      <w:pPr>
        <w:pStyle w:val="Texto"/>
        <w:spacing w:before="0" w:after="0" w:line="240" w:lineRule="auto"/>
        <w:rPr>
          <w:sz w:val="24"/>
        </w:rPr>
      </w:pPr>
    </w:p>
    <w:p w:rsidRPr="00CE107C" w:rsidR="008C0D55" w:rsidP="008C0D55" w:rsidRDefault="003C4A7D" w14:paraId="0B550891" w14:textId="54E249E5">
      <w:pPr>
        <w:pStyle w:val="Texto"/>
        <w:numPr>
          <w:ilvl w:val="0"/>
          <w:numId w:val="4"/>
        </w:numPr>
        <w:spacing w:before="0" w:after="0" w:line="240" w:lineRule="auto"/>
        <w:rPr>
          <w:b/>
          <w:bCs/>
          <w:sz w:val="24"/>
        </w:rPr>
      </w:pPr>
      <w:r w:rsidRPr="00CE107C">
        <w:rPr>
          <w:b/>
          <w:bCs/>
          <w:sz w:val="24"/>
        </w:rPr>
        <w:t>Realizar e</w:t>
      </w:r>
      <w:r w:rsidRPr="00CE107C" w:rsidR="008C0D55">
        <w:rPr>
          <w:b/>
          <w:bCs/>
          <w:sz w:val="24"/>
        </w:rPr>
        <w:t xml:space="preserve">l </w:t>
      </w:r>
      <w:r w:rsidRPr="00CE107C">
        <w:rPr>
          <w:b/>
          <w:bCs/>
          <w:sz w:val="24"/>
        </w:rPr>
        <w:t>P</w:t>
      </w:r>
      <w:r w:rsidRPr="00CE107C" w:rsidR="008C0D55">
        <w:rPr>
          <w:b/>
          <w:bCs/>
          <w:sz w:val="24"/>
        </w:rPr>
        <w:t xml:space="preserve">lan piloto </w:t>
      </w:r>
      <w:r w:rsidRPr="00CE107C">
        <w:rPr>
          <w:b/>
          <w:bCs/>
          <w:sz w:val="24"/>
        </w:rPr>
        <w:t xml:space="preserve">de uso </w:t>
      </w:r>
      <w:r w:rsidRPr="00CE107C" w:rsidR="008C0D55">
        <w:rPr>
          <w:b/>
          <w:bCs/>
          <w:sz w:val="24"/>
        </w:rPr>
        <w:t xml:space="preserve">del CICAC entre el 20 de setiembre y el 10 de diciembre de 2021. </w:t>
      </w:r>
    </w:p>
    <w:p w:rsidR="008323ED" w:rsidP="008323ED" w:rsidRDefault="008323ED" w14:paraId="1CA5ED44" w14:textId="248C1947">
      <w:pPr>
        <w:pStyle w:val="Texto"/>
        <w:spacing w:before="0" w:after="0" w:line="240" w:lineRule="auto"/>
        <w:rPr>
          <w:sz w:val="24"/>
        </w:rPr>
      </w:pPr>
    </w:p>
    <w:p w:rsidR="003C4A7D" w:rsidP="003C4A7D" w:rsidRDefault="003C4A7D" w14:paraId="0839B91A" w14:textId="2D9B03F0">
      <w:pPr>
        <w:numPr>
          <w:ilvl w:val="0"/>
          <w:numId w:val="4"/>
        </w:numPr>
        <w:spacing w:line="240" w:lineRule="auto"/>
        <w:contextualSpacing/>
        <w:outlineLvl w:val="0"/>
        <w:rPr>
          <w:sz w:val="24"/>
          <w:lang w:eastAsia="es-ES"/>
        </w:rPr>
      </w:pPr>
      <w:r w:rsidRPr="003C4A7D">
        <w:rPr>
          <w:sz w:val="24"/>
          <w:lang w:eastAsia="es-ES"/>
        </w:rPr>
        <w:t xml:space="preserve">Aun cuando el Reglamento del CICAC entra en vigor hasta el 1º de enero de 2022, para la ejecución del plan piloto </w:t>
      </w:r>
      <w:r w:rsidR="00B621BC">
        <w:rPr>
          <w:sz w:val="24"/>
          <w:lang w:eastAsia="es-ES"/>
        </w:rPr>
        <w:t>rigen</w:t>
      </w:r>
      <w:r w:rsidRPr="003C4A7D">
        <w:rPr>
          <w:sz w:val="24"/>
          <w:lang w:eastAsia="es-ES"/>
        </w:rPr>
        <w:t xml:space="preserve"> todas las disposiciones establecidas en el Reglamento del CICAC y </w:t>
      </w:r>
      <w:r>
        <w:rPr>
          <w:sz w:val="24"/>
          <w:lang w:eastAsia="es-ES"/>
        </w:rPr>
        <w:t xml:space="preserve">en </w:t>
      </w:r>
      <w:r w:rsidRPr="003C4A7D">
        <w:rPr>
          <w:sz w:val="24"/>
          <w:lang w:eastAsia="es-ES"/>
        </w:rPr>
        <w:t>los Lineamientos operativos para el funcionamiento, acceso y uso del CICAC.</w:t>
      </w:r>
      <w:r w:rsidR="00AC0154">
        <w:rPr>
          <w:sz w:val="24"/>
          <w:lang w:eastAsia="es-ES"/>
        </w:rPr>
        <w:t xml:space="preserve"> Por tanto, es indispensable que el equipo que participe en el plan piloto por parte de la entidad financiera tenga un apropiado dominio de </w:t>
      </w:r>
      <w:r w:rsidR="00B621BC">
        <w:rPr>
          <w:sz w:val="24"/>
          <w:lang w:eastAsia="es-ES"/>
        </w:rPr>
        <w:t>este cuerpo normativo, lo cual debe ser verificado por la entidad financiera de previo al inicio del plan piloto.</w:t>
      </w:r>
    </w:p>
    <w:p w:rsidR="006D116F" w:rsidP="006D116F" w:rsidRDefault="006D116F" w14:paraId="424E4DDD" w14:textId="77777777">
      <w:pPr>
        <w:pStyle w:val="Prrafodelista"/>
        <w:rPr>
          <w:sz w:val="24"/>
          <w:lang w:eastAsia="es-ES"/>
        </w:rPr>
      </w:pPr>
    </w:p>
    <w:p w:rsidRPr="006D116F" w:rsidR="006D116F" w:rsidP="006D116F" w:rsidRDefault="006D116F" w14:paraId="29768162" w14:textId="14D4D611">
      <w:pPr>
        <w:numPr>
          <w:ilvl w:val="0"/>
          <w:numId w:val="4"/>
        </w:numPr>
        <w:spacing w:line="240" w:lineRule="auto"/>
        <w:contextualSpacing/>
        <w:outlineLvl w:val="0"/>
        <w:rPr>
          <w:sz w:val="24"/>
          <w:lang w:eastAsia="es-ES"/>
        </w:rPr>
      </w:pPr>
      <w:r w:rsidRPr="003C4A7D">
        <w:rPr>
          <w:sz w:val="24"/>
          <w:lang w:eastAsia="es-ES"/>
        </w:rPr>
        <w:t>El sujeto obligado participante en el plan piloto debe designar los usuarios autorizados (Certificados</w:t>
      </w:r>
      <w:r>
        <w:rPr>
          <w:sz w:val="24"/>
          <w:lang w:eastAsia="es-ES"/>
        </w:rPr>
        <w:t xml:space="preserve"> – esta condición será verificada por la SUGEF</w:t>
      </w:r>
      <w:r w:rsidRPr="003C4A7D">
        <w:rPr>
          <w:sz w:val="24"/>
          <w:lang w:eastAsia="es-ES"/>
        </w:rPr>
        <w:t>) para ingresar al CICAC; para designar los perfiles de los usuarios, debe gestionar los permisos mediante el Servicio de Administración de Esquemas de Seguridad (AES) del Banco Central de Costa Rica (BCCR).</w:t>
      </w:r>
    </w:p>
    <w:p w:rsidRPr="003C4A7D" w:rsidR="003C4A7D" w:rsidP="003C4A7D" w:rsidRDefault="003C4A7D" w14:paraId="297EC4EE" w14:textId="77777777">
      <w:pPr>
        <w:pStyle w:val="Prrafodelista"/>
        <w:rPr>
          <w:sz w:val="24"/>
          <w:lang w:eastAsia="es-ES"/>
        </w:rPr>
      </w:pPr>
    </w:p>
    <w:p w:rsidR="003C4A7D" w:rsidP="003C4A7D" w:rsidRDefault="003C4A7D" w14:paraId="744608F3" w14:textId="5A7A5CCA">
      <w:pPr>
        <w:numPr>
          <w:ilvl w:val="0"/>
          <w:numId w:val="4"/>
        </w:numPr>
        <w:spacing w:line="240" w:lineRule="auto"/>
        <w:contextualSpacing/>
        <w:outlineLvl w:val="0"/>
        <w:rPr>
          <w:sz w:val="24"/>
          <w:lang w:eastAsia="es-ES"/>
        </w:rPr>
      </w:pPr>
      <w:r w:rsidRPr="003C4A7D">
        <w:rPr>
          <w:sz w:val="24"/>
          <w:lang w:eastAsia="es-ES"/>
        </w:rPr>
        <w:t xml:space="preserve">El medio de autenticación </w:t>
      </w:r>
      <w:r>
        <w:rPr>
          <w:sz w:val="24"/>
          <w:lang w:eastAsia="es-ES"/>
        </w:rPr>
        <w:t>y única forma de acceso por parte de los usuarios a</w:t>
      </w:r>
      <w:r w:rsidRPr="003C4A7D">
        <w:rPr>
          <w:sz w:val="24"/>
          <w:lang w:eastAsia="es-ES"/>
        </w:rPr>
        <w:t>l sistema CICAC es la firma digital certificada emitida por el BCCR.</w:t>
      </w:r>
    </w:p>
    <w:p w:rsidR="006D116F" w:rsidP="006D116F" w:rsidRDefault="006D116F" w14:paraId="4EC32A22" w14:textId="77777777">
      <w:pPr>
        <w:pStyle w:val="Prrafodelista"/>
        <w:rPr>
          <w:sz w:val="24"/>
          <w:lang w:eastAsia="es-ES"/>
        </w:rPr>
      </w:pPr>
    </w:p>
    <w:p w:rsidR="006D116F" w:rsidP="006D116F" w:rsidRDefault="006D116F" w14:paraId="30343428" w14:textId="11F5C1A1">
      <w:pPr>
        <w:pStyle w:val="Texto"/>
        <w:numPr>
          <w:ilvl w:val="0"/>
          <w:numId w:val="4"/>
        </w:numPr>
        <w:spacing w:before="0" w:after="0" w:line="240" w:lineRule="auto"/>
        <w:rPr>
          <w:sz w:val="24"/>
        </w:rPr>
      </w:pPr>
      <w:r>
        <w:rPr>
          <w:sz w:val="24"/>
        </w:rPr>
        <w:t>Los usuarios autorizados por el sujeto obligado deben contar con:</w:t>
      </w:r>
    </w:p>
    <w:p w:rsidR="006D116F" w:rsidP="006D116F" w:rsidRDefault="006D116F" w14:paraId="5DC19D93" w14:textId="77777777">
      <w:pPr>
        <w:pStyle w:val="Texto"/>
        <w:spacing w:before="0" w:after="0" w:line="240" w:lineRule="auto"/>
        <w:ind w:left="720"/>
        <w:rPr>
          <w:sz w:val="24"/>
        </w:rPr>
      </w:pPr>
    </w:p>
    <w:p w:rsidR="006D116F" w:rsidP="006D116F" w:rsidRDefault="006D116F" w14:paraId="67C6EF56" w14:textId="77777777">
      <w:pPr>
        <w:pStyle w:val="Texto"/>
        <w:numPr>
          <w:ilvl w:val="0"/>
          <w:numId w:val="6"/>
        </w:numPr>
        <w:spacing w:before="0" w:after="0" w:line="240" w:lineRule="auto"/>
        <w:rPr>
          <w:sz w:val="24"/>
        </w:rPr>
      </w:pPr>
      <w:r>
        <w:rPr>
          <w:sz w:val="24"/>
        </w:rPr>
        <w:t xml:space="preserve">Acceso a internet, con un ancho de banda de al menos 5 megas de subida y al menos 10 megas de descarga. </w:t>
      </w:r>
    </w:p>
    <w:p w:rsidR="006D116F" w:rsidP="006D116F" w:rsidRDefault="006D116F" w14:paraId="55D89566" w14:textId="77777777">
      <w:pPr>
        <w:pStyle w:val="Texto"/>
        <w:numPr>
          <w:ilvl w:val="0"/>
          <w:numId w:val="6"/>
        </w:numPr>
        <w:spacing w:before="0" w:after="0" w:line="240" w:lineRule="auto"/>
        <w:rPr>
          <w:sz w:val="24"/>
        </w:rPr>
      </w:pPr>
      <w:r>
        <w:rPr>
          <w:sz w:val="24"/>
        </w:rPr>
        <w:t xml:space="preserve">Tener en sus estaciones de trabajo, navegadores compatibles con el BCCR, tal como: </w:t>
      </w:r>
      <w:r w:rsidRPr="009E758E">
        <w:rPr>
          <w:sz w:val="24"/>
        </w:rPr>
        <w:t>Versión: 11 del Internet Explorer</w:t>
      </w:r>
      <w:r>
        <w:rPr>
          <w:sz w:val="24"/>
        </w:rPr>
        <w:t xml:space="preserve">; </w:t>
      </w:r>
      <w:r w:rsidRPr="009E758E">
        <w:rPr>
          <w:sz w:val="24"/>
        </w:rPr>
        <w:t>Versiones: 82, 83 y 84 de Mozilla Firefo</w:t>
      </w:r>
      <w:r>
        <w:rPr>
          <w:sz w:val="24"/>
        </w:rPr>
        <w:t xml:space="preserve">x; </w:t>
      </w:r>
      <w:r w:rsidRPr="009E758E">
        <w:rPr>
          <w:sz w:val="24"/>
        </w:rPr>
        <w:t>Versiones: 86, 87 y 88 de Google Chrome</w:t>
      </w:r>
      <w:r>
        <w:rPr>
          <w:sz w:val="24"/>
        </w:rPr>
        <w:t xml:space="preserve">; </w:t>
      </w:r>
      <w:r w:rsidRPr="009E758E">
        <w:rPr>
          <w:sz w:val="24"/>
        </w:rPr>
        <w:t>Versión: 13 de Safari</w:t>
      </w:r>
      <w:r>
        <w:rPr>
          <w:sz w:val="24"/>
        </w:rPr>
        <w:t>.</w:t>
      </w:r>
    </w:p>
    <w:p w:rsidRPr="006D116F" w:rsidR="006D116F" w:rsidP="006D116F" w:rsidRDefault="006D116F" w14:paraId="15573CC6" w14:textId="0E05DCD6">
      <w:pPr>
        <w:pStyle w:val="Texto"/>
        <w:numPr>
          <w:ilvl w:val="0"/>
          <w:numId w:val="6"/>
        </w:numPr>
        <w:spacing w:before="0" w:after="0" w:line="240" w:lineRule="auto"/>
        <w:rPr>
          <w:sz w:val="24"/>
        </w:rPr>
      </w:pPr>
      <w:r>
        <w:rPr>
          <w:sz w:val="24"/>
        </w:rPr>
        <w:t>Firma digital certificada (certificado digital del BCCR)</w:t>
      </w:r>
    </w:p>
    <w:p w:rsidR="006D116F" w:rsidP="00684B8C" w:rsidRDefault="006D116F" w14:paraId="730AAF4E" w14:textId="77777777">
      <w:pPr>
        <w:pStyle w:val="Prrafodelista"/>
        <w:rPr>
          <w:sz w:val="24"/>
          <w:lang w:eastAsia="es-ES"/>
        </w:rPr>
      </w:pPr>
    </w:p>
    <w:p w:rsidR="00684B8C" w:rsidP="00684B8C" w:rsidRDefault="00684B8C" w14:paraId="2E84E2BA" w14:textId="1D93F3F9">
      <w:pPr>
        <w:pStyle w:val="Texto"/>
        <w:numPr>
          <w:ilvl w:val="0"/>
          <w:numId w:val="4"/>
        </w:numPr>
        <w:spacing w:before="0" w:after="0" w:line="240" w:lineRule="auto"/>
        <w:rPr>
          <w:sz w:val="24"/>
        </w:rPr>
      </w:pPr>
      <w:r w:rsidRPr="00031FE7">
        <w:rPr>
          <w:sz w:val="24"/>
        </w:rPr>
        <w:t xml:space="preserve">El sujeto obligado debe gestionar los permisos de los usuarios en el </w:t>
      </w:r>
      <w:r w:rsidRPr="00031FE7">
        <w:rPr>
          <w:sz w:val="24"/>
          <w:lang w:eastAsia="es-ES"/>
        </w:rPr>
        <w:t xml:space="preserve">Servicio de Administración de Esquemas de Seguridad (AES), a partir del </w:t>
      </w:r>
      <w:r>
        <w:rPr>
          <w:sz w:val="24"/>
          <w:lang w:eastAsia="es-ES"/>
        </w:rPr>
        <w:t>10</w:t>
      </w:r>
      <w:r w:rsidRPr="00031FE7">
        <w:rPr>
          <w:sz w:val="24"/>
          <w:lang w:eastAsia="es-ES"/>
        </w:rPr>
        <w:t xml:space="preserve"> de setiembre de 2021. Los perfiles vigentes son los siguientes: </w:t>
      </w:r>
    </w:p>
    <w:p w:rsidR="00861FC7" w:rsidP="00861FC7" w:rsidRDefault="00861FC7" w14:paraId="50034FF4" w14:textId="2A1F1BD5">
      <w:pPr>
        <w:pStyle w:val="Texto"/>
        <w:spacing w:before="0" w:after="0" w:line="240" w:lineRule="auto"/>
        <w:ind w:left="720"/>
        <w:rPr>
          <w:sz w:val="24"/>
          <w:lang w:eastAsia="es-ES"/>
        </w:rPr>
      </w:pPr>
    </w:p>
    <w:p w:rsidR="00861FC7" w:rsidP="00861FC7" w:rsidRDefault="00861FC7" w14:paraId="067B8C34" w14:textId="4CBE67DA">
      <w:pPr>
        <w:pStyle w:val="Texto"/>
        <w:spacing w:before="0" w:after="0" w:line="240" w:lineRule="auto"/>
        <w:ind w:left="720"/>
        <w:rPr>
          <w:sz w:val="24"/>
          <w:lang w:eastAsia="es-ES"/>
        </w:rPr>
      </w:pPr>
    </w:p>
    <w:p w:rsidR="00861FC7" w:rsidP="00861FC7" w:rsidRDefault="00861FC7" w14:paraId="3FA3028B" w14:textId="6BA55AFF">
      <w:pPr>
        <w:pStyle w:val="Texto"/>
        <w:spacing w:before="0" w:after="0" w:line="240" w:lineRule="auto"/>
        <w:ind w:left="720"/>
        <w:rPr>
          <w:sz w:val="24"/>
          <w:lang w:eastAsia="es-ES"/>
        </w:rPr>
      </w:pPr>
    </w:p>
    <w:p w:rsidR="00684B8C" w:rsidP="00684B8C" w:rsidRDefault="00684B8C" w14:paraId="3AFABC2F" w14:textId="77777777">
      <w:pPr>
        <w:pStyle w:val="Prrafodelista"/>
        <w:rPr>
          <w:sz w:val="24"/>
        </w:rPr>
      </w:pPr>
    </w:p>
    <w:tbl>
      <w:tblPr>
        <w:tblStyle w:val="Tablaconcuadrcula1clara-nfasis1"/>
        <w:tblW w:w="9493" w:type="dxa"/>
        <w:tblLook w:val="04A0" w:firstRow="1" w:lastRow="0" w:firstColumn="1" w:lastColumn="0" w:noHBand="0" w:noVBand="1"/>
      </w:tblPr>
      <w:tblGrid>
        <w:gridCol w:w="3024"/>
        <w:gridCol w:w="4247"/>
        <w:gridCol w:w="2222"/>
      </w:tblGrid>
      <w:tr w:rsidRPr="007D4212" w:rsidR="00684B8C" w:rsidTr="004C2E1A" w14:paraId="25055A09" w14:textId="7777777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024" w:type="dxa"/>
            <w:hideMark/>
          </w:tcPr>
          <w:p w:rsidRPr="0037154F" w:rsidR="00684B8C" w:rsidP="004C2E1A" w:rsidRDefault="00684B8C" w14:paraId="40121CE8" w14:textId="77777777">
            <w:pPr>
              <w:spacing w:line="240" w:lineRule="auto"/>
              <w:jc w:val="center"/>
              <w:rPr>
                <w:rFonts w:cs="Calibri"/>
                <w:color w:val="000000"/>
                <w:szCs w:val="22"/>
                <w:lang w:val="es-CR" w:eastAsia="es-CR"/>
              </w:rPr>
            </w:pPr>
            <w:r w:rsidRPr="0037154F">
              <w:rPr>
                <w:rFonts w:cs="Calibri"/>
                <w:color w:val="000000"/>
                <w:szCs w:val="22"/>
                <w:lang w:val="es-CR" w:eastAsia="es-CR"/>
              </w:rPr>
              <w:lastRenderedPageBreak/>
              <w:t>Nombre en AES</w:t>
            </w:r>
          </w:p>
        </w:tc>
        <w:tc>
          <w:tcPr>
            <w:tcW w:w="4247" w:type="dxa"/>
          </w:tcPr>
          <w:p w:rsidRPr="007D4212" w:rsidR="00684B8C" w:rsidP="004C2E1A" w:rsidRDefault="00684B8C" w14:paraId="11EBD536"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cs="Calibri"/>
                <w:color w:val="000000"/>
                <w:szCs w:val="22"/>
                <w:lang w:val="es-CR" w:eastAsia="es-CR"/>
              </w:rPr>
            </w:pPr>
            <w:r w:rsidRPr="007D4212">
              <w:rPr>
                <w:rFonts w:cs="Calibri"/>
                <w:color w:val="000000"/>
                <w:szCs w:val="22"/>
                <w:lang w:val="es-CR" w:eastAsia="es-CR"/>
              </w:rPr>
              <w:t>Descripción</w:t>
            </w:r>
          </w:p>
        </w:tc>
        <w:tc>
          <w:tcPr>
            <w:tcW w:w="2222" w:type="dxa"/>
            <w:hideMark/>
          </w:tcPr>
          <w:p w:rsidRPr="0037154F" w:rsidR="00684B8C" w:rsidP="004C2E1A" w:rsidRDefault="00684B8C" w14:paraId="1F5F45CC"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cs="Calibri"/>
                <w:color w:val="000000"/>
                <w:szCs w:val="22"/>
                <w:lang w:val="es-CR" w:eastAsia="es-CR"/>
              </w:rPr>
            </w:pPr>
            <w:r w:rsidRPr="0037154F">
              <w:rPr>
                <w:rFonts w:cs="Calibri"/>
                <w:color w:val="000000"/>
                <w:szCs w:val="22"/>
                <w:lang w:val="es-CR" w:eastAsia="es-CR"/>
              </w:rPr>
              <w:t>Opción</w:t>
            </w:r>
          </w:p>
        </w:tc>
      </w:tr>
      <w:tr w:rsidRPr="007D4212" w:rsidR="00684B8C" w:rsidTr="004C2E1A" w14:paraId="5E2D0C22"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hideMark/>
          </w:tcPr>
          <w:p w:rsidRPr="0037154F" w:rsidR="00684B8C" w:rsidP="004C2E1A" w:rsidRDefault="00684B8C" w14:paraId="595BC437" w14:textId="77777777">
            <w:pPr>
              <w:spacing w:line="240" w:lineRule="auto"/>
              <w:jc w:val="left"/>
              <w:rPr>
                <w:rFonts w:cs="Calibri"/>
                <w:b w:val="0"/>
                <w:bCs w:val="0"/>
                <w:szCs w:val="22"/>
                <w:lang w:val="es-CR" w:eastAsia="es-CR"/>
              </w:rPr>
            </w:pPr>
            <w:r w:rsidRPr="0037154F">
              <w:rPr>
                <w:rFonts w:cs="Calibri"/>
                <w:b w:val="0"/>
                <w:bCs w:val="0"/>
                <w:szCs w:val="22"/>
                <w:lang w:val="es-CR" w:eastAsia="es-CR"/>
              </w:rPr>
              <w:t>Consultante de bitácora de consulta del cliente</w:t>
            </w:r>
          </w:p>
        </w:tc>
        <w:tc>
          <w:tcPr>
            <w:tcW w:w="4247" w:type="dxa"/>
          </w:tcPr>
          <w:p w:rsidRPr="007D4212" w:rsidR="00684B8C" w:rsidP="004C2E1A" w:rsidRDefault="00684B8C" w14:paraId="30834D9E" w14:textId="77777777">
            <w:pPr>
              <w:spacing w:line="240" w:lineRule="auto"/>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12DFE">
              <w:rPr>
                <w:rFonts w:cs="Calibri"/>
                <w:szCs w:val="22"/>
                <w:lang w:val="es-CR" w:eastAsia="es-CR"/>
              </w:rPr>
              <w:t>Perfil que permite a</w:t>
            </w:r>
            <w:r>
              <w:rPr>
                <w:rFonts w:cs="Calibri"/>
                <w:szCs w:val="22"/>
                <w:lang w:val="es-CR" w:eastAsia="es-CR"/>
              </w:rPr>
              <w:t>l</w:t>
            </w:r>
            <w:r w:rsidRPr="00912DFE">
              <w:rPr>
                <w:rFonts w:cs="Calibri"/>
                <w:szCs w:val="22"/>
                <w:lang w:val="es-CR" w:eastAsia="es-CR"/>
              </w:rPr>
              <w:t xml:space="preserve"> usuario del sujeto obligado</w:t>
            </w:r>
            <w:r>
              <w:rPr>
                <w:rFonts w:cs="Calibri"/>
                <w:szCs w:val="22"/>
                <w:lang w:val="es-CR" w:eastAsia="es-CR"/>
              </w:rPr>
              <w:t xml:space="preserve"> </w:t>
            </w:r>
            <w:r w:rsidRPr="007D4212">
              <w:rPr>
                <w:rFonts w:cs="Calibri"/>
                <w:szCs w:val="22"/>
                <w:lang w:val="es-CR" w:eastAsia="es-CR"/>
              </w:rPr>
              <w:t>autorizado consultar los registros históricos sobre las consultas</w:t>
            </w:r>
            <w:r>
              <w:rPr>
                <w:rFonts w:cs="Calibri"/>
                <w:szCs w:val="22"/>
                <w:lang w:val="es-CR" w:eastAsia="es-CR"/>
              </w:rPr>
              <w:t xml:space="preserve"> </w:t>
            </w:r>
            <w:r w:rsidRPr="007D4212">
              <w:rPr>
                <w:rFonts w:cs="Calibri"/>
                <w:szCs w:val="22"/>
                <w:lang w:val="es-CR" w:eastAsia="es-CR"/>
              </w:rPr>
              <w:t>realizadas a la información contenida en el CICAC.</w:t>
            </w:r>
          </w:p>
        </w:tc>
        <w:tc>
          <w:tcPr>
            <w:tcW w:w="2222" w:type="dxa"/>
            <w:hideMark/>
          </w:tcPr>
          <w:p w:rsidRPr="0037154F" w:rsidR="00684B8C" w:rsidP="004C2E1A" w:rsidRDefault="00684B8C" w14:paraId="384585DC"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37154F">
              <w:rPr>
                <w:rFonts w:cs="Calibri"/>
                <w:szCs w:val="22"/>
                <w:lang w:val="es-CR" w:eastAsia="es-CR"/>
              </w:rPr>
              <w:t>Bitácora de consulta del cliente</w:t>
            </w:r>
          </w:p>
        </w:tc>
      </w:tr>
      <w:tr w:rsidRPr="007D4212" w:rsidR="00684B8C" w:rsidTr="004C2E1A" w14:paraId="5C4C1EEC"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hideMark/>
          </w:tcPr>
          <w:p w:rsidRPr="0037154F" w:rsidR="00684B8C" w:rsidP="004C2E1A" w:rsidRDefault="00684B8C" w14:paraId="01374B92" w14:textId="77777777">
            <w:pPr>
              <w:spacing w:line="240" w:lineRule="auto"/>
              <w:jc w:val="left"/>
              <w:rPr>
                <w:rFonts w:cs="Calibri"/>
                <w:b w:val="0"/>
                <w:bCs w:val="0"/>
                <w:szCs w:val="22"/>
                <w:lang w:val="es-CR" w:eastAsia="es-CR"/>
              </w:rPr>
            </w:pPr>
            <w:r w:rsidRPr="0037154F">
              <w:rPr>
                <w:rFonts w:cs="Calibri"/>
                <w:b w:val="0"/>
                <w:bCs w:val="0"/>
                <w:szCs w:val="22"/>
                <w:lang w:val="es-CR" w:eastAsia="es-CR"/>
              </w:rPr>
              <w:t>Consultante de bitácora de actualización del cliente</w:t>
            </w:r>
          </w:p>
        </w:tc>
        <w:tc>
          <w:tcPr>
            <w:tcW w:w="4247" w:type="dxa"/>
          </w:tcPr>
          <w:p w:rsidRPr="00912DFE" w:rsidR="00684B8C" w:rsidP="004C2E1A" w:rsidRDefault="00684B8C" w14:paraId="415AE400" w14:textId="77777777">
            <w:pPr>
              <w:spacing w:line="240" w:lineRule="auto"/>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12DFE">
              <w:rPr>
                <w:rFonts w:cs="Calibri"/>
                <w:szCs w:val="22"/>
                <w:lang w:val="es-CR" w:eastAsia="es-CR"/>
              </w:rPr>
              <w:t>Perfil que permite a</w:t>
            </w:r>
            <w:r>
              <w:rPr>
                <w:rFonts w:cs="Calibri"/>
                <w:szCs w:val="22"/>
                <w:lang w:val="es-CR" w:eastAsia="es-CR"/>
              </w:rPr>
              <w:t>l</w:t>
            </w:r>
            <w:r w:rsidRPr="00912DFE">
              <w:rPr>
                <w:rFonts w:cs="Calibri"/>
                <w:szCs w:val="22"/>
                <w:lang w:val="es-CR" w:eastAsia="es-CR"/>
              </w:rPr>
              <w:t xml:space="preserve"> usuario del sujeto obligado autorizado consultar la información histórica sobre las</w:t>
            </w:r>
            <w:r>
              <w:rPr>
                <w:rFonts w:cs="Calibri"/>
                <w:szCs w:val="22"/>
                <w:lang w:val="es-CR" w:eastAsia="es-CR"/>
              </w:rPr>
              <w:t xml:space="preserve"> </w:t>
            </w:r>
            <w:r w:rsidRPr="00912DFE">
              <w:rPr>
                <w:rFonts w:cs="Calibri"/>
                <w:szCs w:val="22"/>
                <w:lang w:val="es-CR" w:eastAsia="es-CR"/>
              </w:rPr>
              <w:t>actualizaciones realizadas en el expediente conozca a su cliente.</w:t>
            </w:r>
          </w:p>
        </w:tc>
        <w:tc>
          <w:tcPr>
            <w:tcW w:w="2222" w:type="dxa"/>
            <w:hideMark/>
          </w:tcPr>
          <w:p w:rsidRPr="0037154F" w:rsidR="00684B8C" w:rsidP="004C2E1A" w:rsidRDefault="00684B8C" w14:paraId="56E9A42C"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37154F">
              <w:rPr>
                <w:rFonts w:cs="Calibri"/>
                <w:szCs w:val="22"/>
                <w:lang w:val="es-CR" w:eastAsia="es-CR"/>
              </w:rPr>
              <w:t>Bitácora de actualización del cliente</w:t>
            </w:r>
          </w:p>
        </w:tc>
      </w:tr>
      <w:tr w:rsidRPr="007D4212" w:rsidR="00684B8C" w:rsidTr="004C2E1A" w14:paraId="2916C993"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hideMark/>
          </w:tcPr>
          <w:p w:rsidRPr="0037154F" w:rsidR="00684B8C" w:rsidP="004C2E1A" w:rsidRDefault="00684B8C" w14:paraId="6F4B35FF" w14:textId="77777777">
            <w:pPr>
              <w:spacing w:line="240" w:lineRule="auto"/>
              <w:jc w:val="left"/>
              <w:rPr>
                <w:rFonts w:cs="Calibri"/>
                <w:b w:val="0"/>
                <w:bCs w:val="0"/>
                <w:szCs w:val="22"/>
                <w:lang w:val="es-CR" w:eastAsia="es-CR"/>
              </w:rPr>
            </w:pPr>
            <w:r w:rsidRPr="0037154F">
              <w:rPr>
                <w:rFonts w:cs="Calibri"/>
                <w:b w:val="0"/>
                <w:bCs w:val="0"/>
                <w:szCs w:val="22"/>
                <w:lang w:val="es-CR" w:eastAsia="es-CR"/>
              </w:rPr>
              <w:t>Digitador de conozca a su cliente del sujeto obligado</w:t>
            </w:r>
          </w:p>
        </w:tc>
        <w:tc>
          <w:tcPr>
            <w:tcW w:w="4247" w:type="dxa"/>
          </w:tcPr>
          <w:p w:rsidRPr="007D4212" w:rsidR="00684B8C" w:rsidP="004C2E1A" w:rsidRDefault="00684B8C" w14:paraId="336377EA" w14:textId="77777777">
            <w:pPr>
              <w:spacing w:line="240" w:lineRule="auto"/>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12DFE">
              <w:rPr>
                <w:rFonts w:cs="Calibri"/>
                <w:szCs w:val="22"/>
                <w:lang w:val="es-CR" w:eastAsia="es-CR"/>
              </w:rPr>
              <w:t>Perfil que permite a</w:t>
            </w:r>
            <w:r>
              <w:rPr>
                <w:rFonts w:cs="Calibri"/>
                <w:szCs w:val="22"/>
                <w:lang w:val="es-CR" w:eastAsia="es-CR"/>
              </w:rPr>
              <w:t>l</w:t>
            </w:r>
            <w:r w:rsidRPr="00912DFE">
              <w:rPr>
                <w:rFonts w:cs="Calibri"/>
                <w:szCs w:val="22"/>
                <w:lang w:val="es-CR" w:eastAsia="es-CR"/>
              </w:rPr>
              <w:t xml:space="preserve"> usuario del sujeto obligado</w:t>
            </w:r>
            <w:r w:rsidRPr="007D4212">
              <w:rPr>
                <w:rFonts w:cs="Calibri"/>
                <w:szCs w:val="22"/>
                <w:lang w:val="es-CR" w:eastAsia="es-CR"/>
              </w:rPr>
              <w:t xml:space="preserve"> autorizado crear y modificar la información contenida en el expediente conozca a su cliente.</w:t>
            </w:r>
          </w:p>
        </w:tc>
        <w:tc>
          <w:tcPr>
            <w:tcW w:w="2222" w:type="dxa"/>
            <w:hideMark/>
          </w:tcPr>
          <w:p w:rsidRPr="0037154F" w:rsidR="00684B8C" w:rsidP="004C2E1A" w:rsidRDefault="00684B8C" w14:paraId="09FC24A7"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37154F">
              <w:rPr>
                <w:rFonts w:cs="Calibri"/>
                <w:szCs w:val="22"/>
                <w:lang w:val="es-CR" w:eastAsia="es-CR"/>
              </w:rPr>
              <w:t>Registrar cliente</w:t>
            </w:r>
          </w:p>
        </w:tc>
      </w:tr>
      <w:tr w:rsidRPr="007D4212" w:rsidR="00684B8C" w:rsidTr="004C2E1A" w14:paraId="13B02C66"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hideMark/>
          </w:tcPr>
          <w:p w:rsidRPr="0037154F" w:rsidR="00684B8C" w:rsidP="004C2E1A" w:rsidRDefault="00684B8C" w14:paraId="6A3FDB00" w14:textId="77777777">
            <w:pPr>
              <w:spacing w:line="240" w:lineRule="auto"/>
              <w:jc w:val="left"/>
              <w:rPr>
                <w:rFonts w:cs="Calibri"/>
                <w:b w:val="0"/>
                <w:bCs w:val="0"/>
                <w:szCs w:val="22"/>
                <w:lang w:val="es-CR" w:eastAsia="es-CR"/>
              </w:rPr>
            </w:pPr>
            <w:r w:rsidRPr="0037154F">
              <w:rPr>
                <w:rFonts w:cs="Calibri"/>
                <w:b w:val="0"/>
                <w:bCs w:val="0"/>
                <w:szCs w:val="22"/>
                <w:lang w:val="es-CR" w:eastAsia="es-CR"/>
              </w:rPr>
              <w:t>Consultante de autorizaciones</w:t>
            </w:r>
          </w:p>
        </w:tc>
        <w:tc>
          <w:tcPr>
            <w:tcW w:w="4247" w:type="dxa"/>
          </w:tcPr>
          <w:p w:rsidRPr="007D4212" w:rsidR="00684B8C" w:rsidP="004C2E1A" w:rsidRDefault="00684B8C" w14:paraId="2EC17D98" w14:textId="77777777">
            <w:pPr>
              <w:spacing w:line="240" w:lineRule="auto"/>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12DFE">
              <w:rPr>
                <w:rFonts w:cs="Calibri"/>
                <w:szCs w:val="22"/>
                <w:lang w:val="es-CR" w:eastAsia="es-CR"/>
              </w:rPr>
              <w:t>Perfil que permite a</w:t>
            </w:r>
            <w:r>
              <w:rPr>
                <w:rFonts w:cs="Calibri"/>
                <w:szCs w:val="22"/>
                <w:lang w:val="es-CR" w:eastAsia="es-CR"/>
              </w:rPr>
              <w:t>l</w:t>
            </w:r>
            <w:r w:rsidRPr="00912DFE">
              <w:rPr>
                <w:rFonts w:cs="Calibri"/>
                <w:szCs w:val="22"/>
                <w:lang w:val="es-CR" w:eastAsia="es-CR"/>
              </w:rPr>
              <w:t xml:space="preserve"> usuario del sujeto obligado</w:t>
            </w:r>
            <w:r w:rsidRPr="007D4212">
              <w:rPr>
                <w:rFonts w:cs="Calibri"/>
                <w:szCs w:val="22"/>
                <w:lang w:val="es-CR" w:eastAsia="es-CR"/>
              </w:rPr>
              <w:t xml:space="preserve"> autorizado revisar las autorizaciones de consultas otorgadas por el cliente y registradas en el expediente conozca a su cliente y en la bitácora de consulta del módulo de autorizaciones.</w:t>
            </w:r>
          </w:p>
        </w:tc>
        <w:tc>
          <w:tcPr>
            <w:tcW w:w="2222" w:type="dxa"/>
            <w:hideMark/>
          </w:tcPr>
          <w:p w:rsidRPr="0037154F" w:rsidR="00684B8C" w:rsidP="004C2E1A" w:rsidRDefault="00684B8C" w14:paraId="4FFC0DF4"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37154F">
              <w:rPr>
                <w:rFonts w:cs="Calibri"/>
                <w:szCs w:val="22"/>
                <w:lang w:val="es-CR" w:eastAsia="es-CR"/>
              </w:rPr>
              <w:t>Autorizaciones</w:t>
            </w:r>
          </w:p>
        </w:tc>
      </w:tr>
      <w:tr w:rsidRPr="007D4212" w:rsidR="00684B8C" w:rsidTr="004C2E1A" w14:paraId="5B0BE01A"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hideMark/>
          </w:tcPr>
          <w:p w:rsidRPr="0037154F" w:rsidR="00684B8C" w:rsidP="004C2E1A" w:rsidRDefault="00684B8C" w14:paraId="68A407F7" w14:textId="77777777">
            <w:pPr>
              <w:spacing w:line="240" w:lineRule="auto"/>
              <w:jc w:val="left"/>
              <w:rPr>
                <w:rFonts w:cs="Calibri"/>
                <w:b w:val="0"/>
                <w:bCs w:val="0"/>
                <w:szCs w:val="22"/>
                <w:lang w:val="es-CR" w:eastAsia="es-CR"/>
              </w:rPr>
            </w:pPr>
            <w:r w:rsidRPr="0037154F">
              <w:rPr>
                <w:rFonts w:cs="Calibri"/>
                <w:b w:val="0"/>
                <w:bCs w:val="0"/>
                <w:szCs w:val="22"/>
                <w:lang w:val="es-CR" w:eastAsia="es-CR"/>
              </w:rPr>
              <w:t>Consultante de expediente del cliente</w:t>
            </w:r>
          </w:p>
        </w:tc>
        <w:tc>
          <w:tcPr>
            <w:tcW w:w="4247" w:type="dxa"/>
          </w:tcPr>
          <w:p w:rsidRPr="007D4212" w:rsidR="00684B8C" w:rsidP="004C2E1A" w:rsidRDefault="00684B8C" w14:paraId="77D2706F" w14:textId="77777777">
            <w:pPr>
              <w:spacing w:line="240" w:lineRule="auto"/>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12DFE">
              <w:rPr>
                <w:rFonts w:cs="Calibri"/>
                <w:szCs w:val="22"/>
                <w:lang w:val="es-CR" w:eastAsia="es-CR"/>
              </w:rPr>
              <w:t>Perfil que permite a</w:t>
            </w:r>
            <w:r>
              <w:rPr>
                <w:rFonts w:cs="Calibri"/>
                <w:szCs w:val="22"/>
                <w:lang w:val="es-CR" w:eastAsia="es-CR"/>
              </w:rPr>
              <w:t>l</w:t>
            </w:r>
            <w:r w:rsidRPr="00912DFE">
              <w:rPr>
                <w:rFonts w:cs="Calibri"/>
                <w:szCs w:val="22"/>
                <w:lang w:val="es-CR" w:eastAsia="es-CR"/>
              </w:rPr>
              <w:t xml:space="preserve"> usuario del sujeto obligado</w:t>
            </w:r>
            <w:r w:rsidRPr="007D4212">
              <w:rPr>
                <w:rFonts w:cs="Calibri"/>
                <w:szCs w:val="22"/>
                <w:lang w:val="es-CR" w:eastAsia="es-CR"/>
              </w:rPr>
              <w:t xml:space="preserve"> autorizado consultar la información contenida en el expediente conozca a su cliente. </w:t>
            </w:r>
          </w:p>
        </w:tc>
        <w:tc>
          <w:tcPr>
            <w:tcW w:w="2222" w:type="dxa"/>
            <w:hideMark/>
          </w:tcPr>
          <w:p w:rsidRPr="0037154F" w:rsidR="00684B8C" w:rsidP="004C2E1A" w:rsidRDefault="00684B8C" w14:paraId="5F304D21"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37154F">
              <w:rPr>
                <w:rFonts w:cs="Calibri"/>
                <w:szCs w:val="22"/>
                <w:lang w:val="es-CR" w:eastAsia="es-CR"/>
              </w:rPr>
              <w:t>Expediente del cliente</w:t>
            </w:r>
          </w:p>
        </w:tc>
      </w:tr>
      <w:tr w:rsidRPr="007D4212" w:rsidR="00684B8C" w:rsidTr="004C2E1A" w14:paraId="025665F7"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hideMark/>
          </w:tcPr>
          <w:p w:rsidRPr="0037154F" w:rsidR="00684B8C" w:rsidP="004C2E1A" w:rsidRDefault="00684B8C" w14:paraId="71A11B9C" w14:textId="77777777">
            <w:pPr>
              <w:spacing w:line="240" w:lineRule="auto"/>
              <w:jc w:val="left"/>
              <w:rPr>
                <w:rFonts w:cs="Calibri"/>
                <w:b w:val="0"/>
                <w:bCs w:val="0"/>
                <w:szCs w:val="22"/>
                <w:lang w:val="es-CR" w:eastAsia="es-CR"/>
              </w:rPr>
            </w:pPr>
            <w:r w:rsidRPr="0037154F">
              <w:rPr>
                <w:rFonts w:cs="Calibri"/>
                <w:b w:val="0"/>
                <w:bCs w:val="0"/>
                <w:szCs w:val="22"/>
                <w:lang w:val="es-CR" w:eastAsia="es-CR"/>
              </w:rPr>
              <w:t>Consultante de Evidencias del cliente</w:t>
            </w:r>
          </w:p>
        </w:tc>
        <w:tc>
          <w:tcPr>
            <w:tcW w:w="4247" w:type="dxa"/>
          </w:tcPr>
          <w:p w:rsidRPr="003A6D3F" w:rsidR="00684B8C" w:rsidP="004C2E1A" w:rsidRDefault="00684B8C" w14:paraId="4CAD2B87" w14:textId="77777777">
            <w:pPr>
              <w:spacing w:line="240" w:lineRule="auto"/>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3A6D3F">
              <w:rPr>
                <w:rFonts w:cs="Calibri"/>
                <w:szCs w:val="22"/>
                <w:lang w:val="es-CR" w:eastAsia="es-CR"/>
              </w:rPr>
              <w:t xml:space="preserve">Perfil que permite al usuario del sujeto obligado autorizado </w:t>
            </w:r>
            <w:r>
              <w:rPr>
                <w:rFonts w:cs="Calibri"/>
                <w:szCs w:val="22"/>
                <w:lang w:val="es-CR" w:eastAsia="es-CR"/>
              </w:rPr>
              <w:t>c</w:t>
            </w:r>
            <w:r w:rsidRPr="003A6D3F">
              <w:rPr>
                <w:rFonts w:cs="Calibri"/>
                <w:szCs w:val="22"/>
                <w:lang w:val="es-CR" w:eastAsia="es-CR"/>
              </w:rPr>
              <w:t>onsultar en el CICAC las evidencias que</w:t>
            </w:r>
            <w:r>
              <w:rPr>
                <w:rFonts w:cs="Calibri"/>
                <w:szCs w:val="22"/>
                <w:lang w:val="es-CR" w:eastAsia="es-CR"/>
              </w:rPr>
              <w:t xml:space="preserve"> </w:t>
            </w:r>
            <w:r w:rsidRPr="003A6D3F">
              <w:rPr>
                <w:rFonts w:cs="Calibri"/>
                <w:szCs w:val="22"/>
                <w:lang w:val="es-CR" w:eastAsia="es-CR"/>
              </w:rPr>
              <w:t>respaldan los orígenes de fondos.</w:t>
            </w:r>
          </w:p>
        </w:tc>
        <w:tc>
          <w:tcPr>
            <w:tcW w:w="2222" w:type="dxa"/>
            <w:hideMark/>
          </w:tcPr>
          <w:p w:rsidRPr="0037154F" w:rsidR="00684B8C" w:rsidP="004C2E1A" w:rsidRDefault="00684B8C" w14:paraId="2A6BBDA0"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37154F">
              <w:rPr>
                <w:rFonts w:cs="Calibri"/>
                <w:szCs w:val="22"/>
                <w:lang w:val="es-CR" w:eastAsia="es-CR"/>
              </w:rPr>
              <w:t>Evidencia origen de fondos</w:t>
            </w:r>
          </w:p>
        </w:tc>
      </w:tr>
      <w:tr w:rsidRPr="007D4212" w:rsidR="00684B8C" w:rsidTr="004C2E1A" w14:paraId="2827E75E"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hideMark/>
          </w:tcPr>
          <w:p w:rsidRPr="0037154F" w:rsidR="00684B8C" w:rsidP="004C2E1A" w:rsidRDefault="00684B8C" w14:paraId="4792691B" w14:textId="77777777">
            <w:pPr>
              <w:spacing w:line="240" w:lineRule="auto"/>
              <w:jc w:val="left"/>
              <w:rPr>
                <w:rFonts w:cs="Calibri"/>
                <w:b w:val="0"/>
                <w:bCs w:val="0"/>
                <w:szCs w:val="22"/>
                <w:lang w:val="es-CR" w:eastAsia="es-CR"/>
              </w:rPr>
            </w:pPr>
            <w:r w:rsidRPr="0037154F">
              <w:rPr>
                <w:rFonts w:cs="Calibri"/>
                <w:b w:val="0"/>
                <w:bCs w:val="0"/>
                <w:szCs w:val="22"/>
                <w:lang w:val="es-CR" w:eastAsia="es-CR"/>
              </w:rPr>
              <w:t>Digitador de Evidencias del cliente</w:t>
            </w:r>
          </w:p>
        </w:tc>
        <w:tc>
          <w:tcPr>
            <w:tcW w:w="4247" w:type="dxa"/>
          </w:tcPr>
          <w:p w:rsidRPr="007D4212" w:rsidR="00684B8C" w:rsidP="004C2E1A" w:rsidRDefault="00684B8C" w14:paraId="56D70960"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NewRoman" w:eastAsiaTheme="minorHAnsi"/>
                <w:szCs w:val="22"/>
                <w:lang w:val="es-CR"/>
              </w:rPr>
            </w:pPr>
            <w:r w:rsidRPr="00912DFE">
              <w:rPr>
                <w:rFonts w:cs="Calibri"/>
                <w:szCs w:val="22"/>
                <w:lang w:val="es-CR" w:eastAsia="es-CR"/>
              </w:rPr>
              <w:t>Perfil que permite a</w:t>
            </w:r>
            <w:r>
              <w:rPr>
                <w:rFonts w:cs="Calibri"/>
                <w:szCs w:val="22"/>
                <w:lang w:val="es-CR" w:eastAsia="es-CR"/>
              </w:rPr>
              <w:t>l</w:t>
            </w:r>
            <w:r w:rsidRPr="00912DFE">
              <w:rPr>
                <w:rFonts w:cs="Calibri"/>
                <w:szCs w:val="22"/>
                <w:lang w:val="es-CR" w:eastAsia="es-CR"/>
              </w:rPr>
              <w:t xml:space="preserve"> usuario del sujeto obligado</w:t>
            </w:r>
            <w:r w:rsidRPr="007D4212">
              <w:rPr>
                <w:rFonts w:cs="Calibri"/>
                <w:szCs w:val="22"/>
                <w:lang w:val="es-CR" w:eastAsia="es-CR"/>
              </w:rPr>
              <w:t xml:space="preserve"> autorizado </w:t>
            </w:r>
            <w:r>
              <w:rPr>
                <w:rFonts w:cs="Calibri"/>
                <w:szCs w:val="22"/>
                <w:lang w:val="es-CR" w:eastAsia="es-CR"/>
              </w:rPr>
              <w:t>s</w:t>
            </w:r>
            <w:r w:rsidRPr="007D4212">
              <w:rPr>
                <w:rFonts w:cs="Calibri"/>
                <w:szCs w:val="22"/>
                <w:lang w:val="es-CR" w:eastAsia="es-CR"/>
              </w:rPr>
              <w:t>ubir y asociar en el CICAC la evidencia que respalda a los orígenes de fondos.</w:t>
            </w:r>
          </w:p>
        </w:tc>
        <w:tc>
          <w:tcPr>
            <w:tcW w:w="2222" w:type="dxa"/>
            <w:hideMark/>
          </w:tcPr>
          <w:p w:rsidRPr="0037154F" w:rsidR="00684B8C" w:rsidP="004C2E1A" w:rsidRDefault="00684B8C" w14:paraId="128F8D2E"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37154F">
              <w:rPr>
                <w:rFonts w:cs="Calibri"/>
                <w:szCs w:val="22"/>
                <w:lang w:val="es-CR" w:eastAsia="es-CR"/>
              </w:rPr>
              <w:t>Evidencia origen de fondos</w:t>
            </w:r>
          </w:p>
        </w:tc>
      </w:tr>
      <w:tr w:rsidRPr="007D4212" w:rsidR="00684B8C" w:rsidTr="004C2E1A" w14:paraId="5CB53ABF"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hideMark/>
          </w:tcPr>
          <w:p w:rsidRPr="0037154F" w:rsidR="00684B8C" w:rsidP="004C2E1A" w:rsidRDefault="00684B8C" w14:paraId="1DE3C9D5" w14:textId="77777777">
            <w:pPr>
              <w:spacing w:line="240" w:lineRule="auto"/>
              <w:jc w:val="left"/>
              <w:rPr>
                <w:rFonts w:cs="Calibri"/>
                <w:b w:val="0"/>
                <w:bCs w:val="0"/>
                <w:szCs w:val="22"/>
                <w:lang w:val="es-CR" w:eastAsia="es-CR"/>
              </w:rPr>
            </w:pPr>
            <w:r w:rsidRPr="0037154F">
              <w:rPr>
                <w:rFonts w:cs="Calibri"/>
                <w:b w:val="0"/>
                <w:bCs w:val="0"/>
                <w:szCs w:val="22"/>
                <w:lang w:val="es-CR" w:eastAsia="es-CR"/>
              </w:rPr>
              <w:t>Aprobador de Evidencias del cliente</w:t>
            </w:r>
          </w:p>
        </w:tc>
        <w:tc>
          <w:tcPr>
            <w:tcW w:w="4247" w:type="dxa"/>
          </w:tcPr>
          <w:p w:rsidRPr="007D4212" w:rsidR="00684B8C" w:rsidP="004C2E1A" w:rsidRDefault="00684B8C" w14:paraId="46C2AB33" w14:textId="77777777">
            <w:pPr>
              <w:spacing w:line="240" w:lineRule="auto"/>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12DFE">
              <w:rPr>
                <w:rFonts w:cs="Calibri"/>
                <w:szCs w:val="22"/>
                <w:lang w:val="es-CR" w:eastAsia="es-CR"/>
              </w:rPr>
              <w:t>Perfil que permite a</w:t>
            </w:r>
            <w:r>
              <w:rPr>
                <w:rFonts w:cs="Calibri"/>
                <w:szCs w:val="22"/>
                <w:lang w:val="es-CR" w:eastAsia="es-CR"/>
              </w:rPr>
              <w:t>l</w:t>
            </w:r>
            <w:r w:rsidRPr="00912DFE">
              <w:rPr>
                <w:rFonts w:cs="Calibri"/>
                <w:szCs w:val="22"/>
                <w:lang w:val="es-CR" w:eastAsia="es-CR"/>
              </w:rPr>
              <w:t xml:space="preserve"> usuario del sujeto obligado</w:t>
            </w:r>
            <w:r w:rsidRPr="007D4212">
              <w:rPr>
                <w:rFonts w:cs="Calibri"/>
                <w:szCs w:val="22"/>
                <w:lang w:val="es-CR" w:eastAsia="es-CR"/>
              </w:rPr>
              <w:t xml:space="preserve"> autorizado aprobar o rechazar en el CICAC la evidencia que</w:t>
            </w:r>
          </w:p>
          <w:p w:rsidRPr="007D4212" w:rsidR="00684B8C" w:rsidP="004C2E1A" w:rsidRDefault="00684B8C" w14:paraId="352E8D8F" w14:textId="77777777">
            <w:pPr>
              <w:spacing w:line="240" w:lineRule="auto"/>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7D4212">
              <w:rPr>
                <w:rFonts w:cs="Calibri"/>
                <w:szCs w:val="22"/>
                <w:lang w:val="es-CR" w:eastAsia="es-CR"/>
              </w:rPr>
              <w:t>respalda los orígenes de fondos.</w:t>
            </w:r>
          </w:p>
        </w:tc>
        <w:tc>
          <w:tcPr>
            <w:tcW w:w="2222" w:type="dxa"/>
            <w:hideMark/>
          </w:tcPr>
          <w:p w:rsidRPr="0037154F" w:rsidR="00684B8C" w:rsidP="004C2E1A" w:rsidRDefault="00684B8C" w14:paraId="55F96C1B"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37154F">
              <w:rPr>
                <w:rFonts w:cs="Calibri"/>
                <w:szCs w:val="22"/>
                <w:lang w:val="es-CR" w:eastAsia="es-CR"/>
              </w:rPr>
              <w:t>Evidencia origen de fondos</w:t>
            </w:r>
          </w:p>
        </w:tc>
      </w:tr>
      <w:tr w:rsidRPr="007D4212" w:rsidR="00684B8C" w:rsidTr="004C2E1A" w14:paraId="74F865D5"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hideMark/>
          </w:tcPr>
          <w:p w:rsidRPr="0037154F" w:rsidR="00684B8C" w:rsidP="004C2E1A" w:rsidRDefault="00684B8C" w14:paraId="2F9BA3A7" w14:textId="77777777">
            <w:pPr>
              <w:spacing w:line="240" w:lineRule="auto"/>
              <w:jc w:val="left"/>
              <w:rPr>
                <w:rFonts w:cs="Calibri"/>
                <w:b w:val="0"/>
                <w:bCs w:val="0"/>
                <w:szCs w:val="22"/>
                <w:lang w:val="es-CR" w:eastAsia="es-CR"/>
              </w:rPr>
            </w:pPr>
            <w:bookmarkStart w:name="_Hlk76557710" w:id="4"/>
            <w:r w:rsidRPr="0037154F">
              <w:rPr>
                <w:rFonts w:cs="Calibri"/>
                <w:b w:val="0"/>
                <w:bCs w:val="0"/>
                <w:szCs w:val="22"/>
                <w:lang w:val="es-CR" w:eastAsia="es-CR"/>
              </w:rPr>
              <w:t>Consultante de bitácora evidencia</w:t>
            </w:r>
          </w:p>
        </w:tc>
        <w:tc>
          <w:tcPr>
            <w:tcW w:w="4247" w:type="dxa"/>
          </w:tcPr>
          <w:p w:rsidRPr="007D4212" w:rsidR="00684B8C" w:rsidP="004C2E1A" w:rsidRDefault="00684B8C" w14:paraId="00E21796" w14:textId="77777777">
            <w:pPr>
              <w:spacing w:line="240" w:lineRule="auto"/>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3A6D3F">
              <w:rPr>
                <w:rFonts w:cs="Calibri"/>
                <w:szCs w:val="22"/>
                <w:lang w:val="es-CR" w:eastAsia="es-CR"/>
              </w:rPr>
              <w:t>Perfil que permite al usuario del sujeto obligado autorizado consultar las acciones realizadas en las evidencias que respaldan los orígenes de fondos.</w:t>
            </w:r>
          </w:p>
        </w:tc>
        <w:tc>
          <w:tcPr>
            <w:tcW w:w="2222" w:type="dxa"/>
            <w:hideMark/>
          </w:tcPr>
          <w:p w:rsidRPr="0037154F" w:rsidR="00684B8C" w:rsidP="004C2E1A" w:rsidRDefault="00684B8C" w14:paraId="7CAF87C4"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37154F">
              <w:rPr>
                <w:rFonts w:cs="Calibri"/>
                <w:szCs w:val="22"/>
                <w:lang w:val="es-CR" w:eastAsia="es-CR"/>
              </w:rPr>
              <w:t>Bitácora de evidencia origen de fondos</w:t>
            </w:r>
          </w:p>
        </w:tc>
      </w:tr>
      <w:tr w:rsidRPr="007D4212" w:rsidR="00684B8C" w:rsidTr="004C2E1A" w14:paraId="7E212EE9"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hideMark/>
          </w:tcPr>
          <w:p w:rsidRPr="0037154F" w:rsidR="00684B8C" w:rsidP="004C2E1A" w:rsidRDefault="00684B8C" w14:paraId="78679CE1" w14:textId="77777777">
            <w:pPr>
              <w:spacing w:line="240" w:lineRule="auto"/>
              <w:jc w:val="left"/>
              <w:rPr>
                <w:rFonts w:cs="Calibri"/>
                <w:b w:val="0"/>
                <w:bCs w:val="0"/>
                <w:szCs w:val="22"/>
                <w:lang w:val="es-CR" w:eastAsia="es-CR"/>
              </w:rPr>
            </w:pPr>
            <w:r w:rsidRPr="0037154F">
              <w:rPr>
                <w:rFonts w:cs="Calibri"/>
                <w:b w:val="0"/>
                <w:bCs w:val="0"/>
                <w:szCs w:val="22"/>
                <w:lang w:val="es-CR" w:eastAsia="es-CR"/>
              </w:rPr>
              <w:t>Encargado de revocar autorizaciones</w:t>
            </w:r>
          </w:p>
        </w:tc>
        <w:tc>
          <w:tcPr>
            <w:tcW w:w="4247" w:type="dxa"/>
            <w:shd w:val="clear" w:color="auto" w:fill="auto"/>
          </w:tcPr>
          <w:p w:rsidRPr="007D4212" w:rsidR="00684B8C" w:rsidP="004C2E1A" w:rsidRDefault="00684B8C" w14:paraId="39FA515C" w14:textId="77777777">
            <w:pPr>
              <w:spacing w:line="240" w:lineRule="auto"/>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3A6D3F">
              <w:rPr>
                <w:rFonts w:cs="Calibri"/>
                <w:szCs w:val="22"/>
                <w:lang w:val="es-CR" w:eastAsia="es-CR"/>
              </w:rPr>
              <w:t>Perfil que permite al usuario del sujeto obligado autorizado aprobar o rechazar en el CICAC la solicitud de revocación de una autorización de consulta.</w:t>
            </w:r>
            <w:r w:rsidRPr="007D4212">
              <w:rPr>
                <w:rFonts w:cs="Calibri"/>
                <w:szCs w:val="22"/>
                <w:lang w:val="es-CR" w:eastAsia="es-CR"/>
              </w:rPr>
              <w:t xml:space="preserve"> </w:t>
            </w:r>
          </w:p>
          <w:p w:rsidRPr="007D4212" w:rsidR="00684B8C" w:rsidP="004C2E1A" w:rsidRDefault="00684B8C" w14:paraId="5310065F" w14:textId="77777777">
            <w:pPr>
              <w:spacing w:line="240" w:lineRule="auto"/>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p>
        </w:tc>
        <w:tc>
          <w:tcPr>
            <w:tcW w:w="2222" w:type="dxa"/>
            <w:hideMark/>
          </w:tcPr>
          <w:p w:rsidRPr="0037154F" w:rsidR="00684B8C" w:rsidP="004C2E1A" w:rsidRDefault="00684B8C" w14:paraId="28D13D16"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37154F">
              <w:rPr>
                <w:rFonts w:cs="Calibri"/>
                <w:szCs w:val="22"/>
                <w:lang w:val="es-CR" w:eastAsia="es-CR"/>
              </w:rPr>
              <w:t>Revocaciones</w:t>
            </w:r>
          </w:p>
        </w:tc>
      </w:tr>
      <w:bookmarkEnd w:id="4"/>
      <w:tr w:rsidRPr="007D4212" w:rsidR="00684B8C" w:rsidTr="004C2E1A" w14:paraId="47B6C5CB"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hideMark/>
          </w:tcPr>
          <w:p w:rsidRPr="0037154F" w:rsidR="00684B8C" w:rsidP="004C2E1A" w:rsidRDefault="00684B8C" w14:paraId="5A118A24" w14:textId="77777777">
            <w:pPr>
              <w:spacing w:line="240" w:lineRule="auto"/>
              <w:jc w:val="left"/>
              <w:rPr>
                <w:rFonts w:cs="Calibri"/>
                <w:b w:val="0"/>
                <w:bCs w:val="0"/>
                <w:szCs w:val="22"/>
                <w:lang w:val="es-CR" w:eastAsia="es-CR"/>
              </w:rPr>
            </w:pPr>
            <w:r w:rsidRPr="0037154F">
              <w:rPr>
                <w:rFonts w:cs="Calibri"/>
                <w:b w:val="0"/>
                <w:bCs w:val="0"/>
                <w:szCs w:val="22"/>
                <w:lang w:val="es-CR" w:eastAsia="es-CR"/>
              </w:rPr>
              <w:lastRenderedPageBreak/>
              <w:t>Consultante de mi bitácora de consulta</w:t>
            </w:r>
          </w:p>
        </w:tc>
        <w:tc>
          <w:tcPr>
            <w:tcW w:w="4247" w:type="dxa"/>
          </w:tcPr>
          <w:p w:rsidRPr="003A6D3F" w:rsidR="00684B8C" w:rsidP="004C2E1A" w:rsidRDefault="00684B8C" w14:paraId="6DED7DB0" w14:textId="77777777">
            <w:pPr>
              <w:spacing w:line="240" w:lineRule="auto"/>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3A6D3F">
              <w:rPr>
                <w:rFonts w:cs="Calibri"/>
                <w:szCs w:val="22"/>
                <w:lang w:val="es-CR" w:eastAsia="es-CR"/>
              </w:rPr>
              <w:t>Perfil que permite al usuario del sujeto obligado autorizado consultar los registros históricos sobre las consultas</w:t>
            </w:r>
          </w:p>
          <w:p w:rsidRPr="007D4212" w:rsidR="00684B8C" w:rsidP="004C2E1A" w:rsidRDefault="00684B8C" w14:paraId="4AFBB762" w14:textId="77777777">
            <w:pPr>
              <w:spacing w:line="240" w:lineRule="auto"/>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3A6D3F">
              <w:rPr>
                <w:rFonts w:cs="Calibri"/>
                <w:szCs w:val="22"/>
                <w:lang w:val="es-CR" w:eastAsia="es-CR"/>
              </w:rPr>
              <w:t>realizadas a la información de los clientes que han autorizado a la entidad.</w:t>
            </w:r>
          </w:p>
        </w:tc>
        <w:tc>
          <w:tcPr>
            <w:tcW w:w="2222" w:type="dxa"/>
            <w:hideMark/>
          </w:tcPr>
          <w:p w:rsidRPr="0037154F" w:rsidR="00684B8C" w:rsidP="004C2E1A" w:rsidRDefault="00684B8C" w14:paraId="35B6FA8D"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37154F">
              <w:rPr>
                <w:rFonts w:cs="Calibri"/>
                <w:szCs w:val="22"/>
                <w:lang w:val="es-CR" w:eastAsia="es-CR"/>
              </w:rPr>
              <w:t>Mi bitácora de consulta</w:t>
            </w:r>
          </w:p>
        </w:tc>
      </w:tr>
      <w:tr w:rsidRPr="007D4212" w:rsidR="00684B8C" w:rsidTr="004C2E1A" w14:paraId="60218DF7"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hideMark/>
          </w:tcPr>
          <w:p w:rsidRPr="0037154F" w:rsidR="00684B8C" w:rsidP="004C2E1A" w:rsidRDefault="00684B8C" w14:paraId="49CEDD07" w14:textId="77777777">
            <w:pPr>
              <w:spacing w:line="240" w:lineRule="auto"/>
              <w:jc w:val="left"/>
              <w:rPr>
                <w:rFonts w:cs="Calibri"/>
                <w:b w:val="0"/>
                <w:bCs w:val="0"/>
                <w:szCs w:val="22"/>
                <w:lang w:val="es-CR" w:eastAsia="es-CR"/>
              </w:rPr>
            </w:pPr>
            <w:r w:rsidRPr="0037154F">
              <w:rPr>
                <w:rFonts w:cs="Calibri"/>
                <w:b w:val="0"/>
                <w:bCs w:val="0"/>
                <w:szCs w:val="22"/>
                <w:lang w:val="es-CR" w:eastAsia="es-CR"/>
              </w:rPr>
              <w:t>Consultante de bitácora de consulta por colaborador</w:t>
            </w:r>
          </w:p>
        </w:tc>
        <w:tc>
          <w:tcPr>
            <w:tcW w:w="4247" w:type="dxa"/>
          </w:tcPr>
          <w:p w:rsidRPr="00ED60B0" w:rsidR="00684B8C" w:rsidP="004C2E1A" w:rsidRDefault="00684B8C" w14:paraId="20023F0B" w14:textId="77777777">
            <w:pPr>
              <w:spacing w:line="240" w:lineRule="auto"/>
              <w:cnfStyle w:val="000000000000" w:firstRow="0" w:lastRow="0" w:firstColumn="0" w:lastColumn="0" w:oddVBand="0" w:evenVBand="0" w:oddHBand="0" w:evenHBand="0" w:firstRowFirstColumn="0" w:firstRowLastColumn="0" w:lastRowFirstColumn="0" w:lastRowLastColumn="0"/>
              <w:rPr>
                <w:rFonts w:cs="Calibri"/>
                <w:szCs w:val="22"/>
                <w:highlight w:val="cyan"/>
                <w:lang w:val="es-CR" w:eastAsia="es-CR"/>
              </w:rPr>
            </w:pPr>
            <w:r w:rsidRPr="003A6D3F">
              <w:rPr>
                <w:rFonts w:cs="Calibri"/>
                <w:szCs w:val="22"/>
                <w:lang w:val="es-CR" w:eastAsia="es-CR"/>
              </w:rPr>
              <w:t>Perfil que permite al usuario del sujeto obligado autorizado consultar las acciones que realizan los colaboradores sobre las consultas realizadas a la información de los clientes que han autorizado a la entidad.</w:t>
            </w:r>
          </w:p>
        </w:tc>
        <w:tc>
          <w:tcPr>
            <w:tcW w:w="2222" w:type="dxa"/>
            <w:hideMark/>
          </w:tcPr>
          <w:p w:rsidRPr="0037154F" w:rsidR="00684B8C" w:rsidP="004C2E1A" w:rsidRDefault="00684B8C" w14:paraId="1139593F"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37154F">
              <w:rPr>
                <w:rFonts w:cs="Calibri"/>
                <w:szCs w:val="22"/>
                <w:lang w:val="es-CR" w:eastAsia="es-CR"/>
              </w:rPr>
              <w:t>Bitácora de consulta colaboradores</w:t>
            </w:r>
          </w:p>
        </w:tc>
      </w:tr>
    </w:tbl>
    <w:p w:rsidRPr="003C4A7D" w:rsidR="003C4A7D" w:rsidP="003C4A7D" w:rsidRDefault="003C4A7D" w14:paraId="3DD24BF6" w14:textId="77777777">
      <w:pPr>
        <w:pStyle w:val="Prrafodelista"/>
        <w:rPr>
          <w:sz w:val="24"/>
          <w:lang w:eastAsia="es-ES"/>
        </w:rPr>
      </w:pPr>
    </w:p>
    <w:p w:rsidR="006D116F" w:rsidP="006D116F" w:rsidRDefault="006D116F" w14:paraId="7FEB9483" w14:textId="77777777">
      <w:pPr>
        <w:pStyle w:val="Texto"/>
        <w:spacing w:before="0" w:after="0" w:line="240" w:lineRule="auto"/>
        <w:ind w:left="720"/>
        <w:rPr>
          <w:sz w:val="24"/>
        </w:rPr>
      </w:pPr>
    </w:p>
    <w:p w:rsidR="000E7619" w:rsidP="000E7619" w:rsidRDefault="000E7619" w14:paraId="11FFB596" w14:textId="047B0E98">
      <w:pPr>
        <w:pStyle w:val="Texto"/>
        <w:numPr>
          <w:ilvl w:val="0"/>
          <w:numId w:val="4"/>
        </w:numPr>
        <w:spacing w:before="0" w:after="0" w:line="240" w:lineRule="auto"/>
        <w:rPr>
          <w:sz w:val="24"/>
        </w:rPr>
      </w:pPr>
      <w:r>
        <w:rPr>
          <w:sz w:val="24"/>
        </w:rPr>
        <w:t>El plan piloto se realizará en tres fases, según las fechas que a continuación se definen</w:t>
      </w:r>
      <w:r w:rsidR="006D116F">
        <w:rPr>
          <w:sz w:val="24"/>
        </w:rPr>
        <w:t xml:space="preserve">, </w:t>
      </w:r>
      <w:r w:rsidRPr="002E552C">
        <w:rPr>
          <w:sz w:val="24"/>
        </w:rPr>
        <w:t xml:space="preserve">entidades participantes </w:t>
      </w:r>
      <w:r>
        <w:rPr>
          <w:sz w:val="24"/>
        </w:rPr>
        <w:t xml:space="preserve">en cada fase </w:t>
      </w:r>
      <w:r w:rsidRPr="002E552C">
        <w:rPr>
          <w:sz w:val="24"/>
        </w:rPr>
        <w:t>y cantidad de clientes a incluir en el CICAC</w:t>
      </w:r>
      <w:r>
        <w:rPr>
          <w:sz w:val="24"/>
        </w:rPr>
        <w:t xml:space="preserve"> por entidad financiera</w:t>
      </w:r>
      <w:r w:rsidRPr="002E552C">
        <w:rPr>
          <w:sz w:val="24"/>
        </w:rPr>
        <w:t xml:space="preserve">: </w:t>
      </w:r>
    </w:p>
    <w:p w:rsidR="00CE107C" w:rsidP="008C0D55" w:rsidRDefault="00CE107C" w14:paraId="33BC7B5D" w14:textId="14D86155">
      <w:pPr>
        <w:pStyle w:val="Prrafodelista"/>
        <w:rPr>
          <w:sz w:val="24"/>
        </w:rPr>
      </w:pPr>
    </w:p>
    <w:p w:rsidR="00CE107C" w:rsidP="008C0D55" w:rsidRDefault="00CE107C" w14:paraId="12A0771F" w14:textId="77777777">
      <w:pPr>
        <w:pStyle w:val="Prrafodelista"/>
        <w:rPr>
          <w:sz w:val="24"/>
        </w:rPr>
      </w:pPr>
    </w:p>
    <w:tbl>
      <w:tblPr>
        <w:tblStyle w:val="Tablaconcuadrcula1clara-nfasis1"/>
        <w:tblW w:w="8186" w:type="dxa"/>
        <w:tblInd w:w="574" w:type="dxa"/>
        <w:tblLook w:val="04A0" w:firstRow="1" w:lastRow="0" w:firstColumn="1" w:lastColumn="0" w:noHBand="0" w:noVBand="1"/>
      </w:tblPr>
      <w:tblGrid>
        <w:gridCol w:w="4884"/>
        <w:gridCol w:w="3302"/>
      </w:tblGrid>
      <w:tr w:rsidR="008C0D55" w:rsidTr="006D116F" w14:paraId="6F770804" w14:textId="77777777">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8186" w:type="dxa"/>
            <w:gridSpan w:val="2"/>
            <w:shd w:val="clear" w:color="auto" w:fill="DEEAF6" w:themeFill="accent1" w:themeFillTint="33"/>
          </w:tcPr>
          <w:p w:rsidRPr="009E758E" w:rsidR="008C0D55" w:rsidP="005D50F8" w:rsidRDefault="008C0D55" w14:paraId="50D75224" w14:textId="77777777">
            <w:pPr>
              <w:spacing w:line="240" w:lineRule="auto"/>
              <w:jc w:val="center"/>
              <w:rPr>
                <w:rFonts w:cs="Calibri"/>
                <w:color w:val="000000"/>
                <w:szCs w:val="22"/>
                <w:lang w:val="es-CR" w:eastAsia="es-CR"/>
              </w:rPr>
            </w:pPr>
            <w:bookmarkStart w:name="_Hlk77229381" w:id="5"/>
            <w:r w:rsidRPr="009E758E">
              <w:rPr>
                <w:rFonts w:cs="Calibri"/>
                <w:color w:val="000000"/>
                <w:szCs w:val="22"/>
                <w:lang w:val="es-CR" w:eastAsia="es-CR"/>
              </w:rPr>
              <w:t>P</w:t>
            </w:r>
            <w:r w:rsidRPr="009E758E">
              <w:rPr>
                <w:rFonts w:cs="Calibri"/>
                <w:color w:val="000000"/>
                <w:szCs w:val="22"/>
                <w:shd w:val="clear" w:color="auto" w:fill="DEEAF6" w:themeFill="accent1" w:themeFillTint="33"/>
                <w:lang w:val="es-CR" w:eastAsia="es-CR"/>
              </w:rPr>
              <w:t>rimera fase: Del 2</w:t>
            </w:r>
            <w:r>
              <w:rPr>
                <w:rFonts w:cs="Calibri"/>
                <w:color w:val="000000"/>
                <w:szCs w:val="22"/>
                <w:shd w:val="clear" w:color="auto" w:fill="DEEAF6" w:themeFill="accent1" w:themeFillTint="33"/>
                <w:lang w:val="es-CR" w:eastAsia="es-CR"/>
              </w:rPr>
              <w:t>0</w:t>
            </w:r>
            <w:r w:rsidRPr="009E758E">
              <w:rPr>
                <w:rFonts w:cs="Calibri"/>
                <w:color w:val="000000"/>
                <w:szCs w:val="22"/>
                <w:shd w:val="clear" w:color="auto" w:fill="DEEAF6" w:themeFill="accent1" w:themeFillTint="33"/>
                <w:lang w:val="es-CR" w:eastAsia="es-CR"/>
              </w:rPr>
              <w:t xml:space="preserve">-09-2021 al </w:t>
            </w:r>
            <w:r>
              <w:rPr>
                <w:rFonts w:cs="Calibri"/>
                <w:color w:val="000000"/>
                <w:szCs w:val="22"/>
                <w:shd w:val="clear" w:color="auto" w:fill="DEEAF6" w:themeFill="accent1" w:themeFillTint="33"/>
                <w:lang w:val="es-CR" w:eastAsia="es-CR"/>
              </w:rPr>
              <w:t>15</w:t>
            </w:r>
            <w:r w:rsidRPr="009E758E">
              <w:rPr>
                <w:rFonts w:cs="Calibri"/>
                <w:color w:val="000000"/>
                <w:szCs w:val="22"/>
                <w:shd w:val="clear" w:color="auto" w:fill="DEEAF6" w:themeFill="accent1" w:themeFillTint="33"/>
                <w:lang w:val="es-CR" w:eastAsia="es-CR"/>
              </w:rPr>
              <w:t>-10-2021</w:t>
            </w:r>
          </w:p>
        </w:tc>
      </w:tr>
      <w:bookmarkEnd w:id="5"/>
      <w:tr w:rsidR="008C0D55" w:rsidTr="006D116F" w14:paraId="389AFD80" w14:textId="77777777">
        <w:trPr>
          <w:trHeight w:val="506"/>
        </w:trPr>
        <w:tc>
          <w:tcPr>
            <w:cnfStyle w:val="001000000000" w:firstRow="0" w:lastRow="0" w:firstColumn="1" w:lastColumn="0" w:oddVBand="0" w:evenVBand="0" w:oddHBand="0" w:evenHBand="0" w:firstRowFirstColumn="0" w:firstRowLastColumn="0" w:lastRowFirstColumn="0" w:lastRowLastColumn="0"/>
            <w:tcW w:w="4884" w:type="dxa"/>
          </w:tcPr>
          <w:p w:rsidRPr="009E758E" w:rsidR="008C0D55" w:rsidP="005D50F8" w:rsidRDefault="008C0D55" w14:paraId="447B7298" w14:textId="77777777">
            <w:pPr>
              <w:spacing w:line="240" w:lineRule="auto"/>
              <w:jc w:val="center"/>
              <w:rPr>
                <w:rFonts w:cs="Calibri"/>
                <w:color w:val="000000"/>
                <w:szCs w:val="22"/>
                <w:lang w:val="es-CR" w:eastAsia="es-CR"/>
              </w:rPr>
            </w:pPr>
            <w:r w:rsidRPr="009E758E">
              <w:rPr>
                <w:rFonts w:cs="Calibri"/>
                <w:color w:val="000000"/>
                <w:szCs w:val="22"/>
                <w:lang w:val="es-CR" w:eastAsia="es-CR"/>
              </w:rPr>
              <w:t>Entidades</w:t>
            </w:r>
          </w:p>
        </w:tc>
        <w:tc>
          <w:tcPr>
            <w:tcW w:w="3302" w:type="dxa"/>
          </w:tcPr>
          <w:p w:rsidRPr="00AC180C" w:rsidR="008C0D55" w:rsidP="005D50F8" w:rsidRDefault="008C0D55" w14:paraId="4EE815D9"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b/>
                <w:bCs/>
                <w:color w:val="000000"/>
                <w:szCs w:val="22"/>
                <w:lang w:val="es-CR" w:eastAsia="es-CR"/>
              </w:rPr>
            </w:pPr>
            <w:r w:rsidRPr="00AC180C">
              <w:rPr>
                <w:rFonts w:cs="Calibri"/>
                <w:b/>
                <w:bCs/>
                <w:color w:val="000000"/>
                <w:szCs w:val="22"/>
                <w:lang w:val="es-CR" w:eastAsia="es-CR"/>
              </w:rPr>
              <w:t>Cantidad de Clientes a incluir en el CICAC</w:t>
            </w:r>
          </w:p>
        </w:tc>
      </w:tr>
      <w:tr w:rsidR="008C0D55" w:rsidTr="006D116F" w14:paraId="74118414" w14:textId="77777777">
        <w:trPr>
          <w:trHeight w:val="252"/>
        </w:trPr>
        <w:tc>
          <w:tcPr>
            <w:cnfStyle w:val="001000000000" w:firstRow="0" w:lastRow="0" w:firstColumn="1" w:lastColumn="0" w:oddVBand="0" w:evenVBand="0" w:oddHBand="0" w:evenHBand="0" w:firstRowFirstColumn="0" w:firstRowLastColumn="0" w:lastRowFirstColumn="0" w:lastRowLastColumn="0"/>
            <w:tcW w:w="4884" w:type="dxa"/>
          </w:tcPr>
          <w:p w:rsidRPr="0011522D" w:rsidR="008C0D55" w:rsidP="005D50F8" w:rsidRDefault="008C0D55" w14:paraId="2CFBDEE8" w14:textId="77777777">
            <w:pPr>
              <w:spacing w:line="240" w:lineRule="auto"/>
              <w:jc w:val="left"/>
              <w:rPr>
                <w:rFonts w:cs="Calibri"/>
                <w:b w:val="0"/>
                <w:bCs w:val="0"/>
                <w:color w:val="000000"/>
                <w:szCs w:val="22"/>
                <w:lang w:val="es-CR" w:eastAsia="es-CR"/>
              </w:rPr>
            </w:pPr>
            <w:bookmarkStart w:name="_Hlk77232565" w:id="6"/>
            <w:r w:rsidRPr="0011522D">
              <w:rPr>
                <w:rFonts w:cs="Calibri"/>
                <w:b w:val="0"/>
                <w:bCs w:val="0"/>
                <w:color w:val="000000"/>
                <w:szCs w:val="22"/>
                <w:lang w:val="es-CR" w:eastAsia="es-CR"/>
              </w:rPr>
              <w:t>Banco Nacional de Costa Rica</w:t>
            </w:r>
          </w:p>
        </w:tc>
        <w:tc>
          <w:tcPr>
            <w:tcW w:w="3302" w:type="dxa"/>
          </w:tcPr>
          <w:p w:rsidRPr="009E758E" w:rsidR="008C0D55" w:rsidP="005D50F8" w:rsidRDefault="008C0D55" w14:paraId="55A34817"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R" w:eastAsia="es-CR"/>
              </w:rPr>
            </w:pPr>
            <w:r w:rsidRPr="009E758E">
              <w:rPr>
                <w:rFonts w:cs="Calibri"/>
                <w:color w:val="000000"/>
                <w:szCs w:val="22"/>
                <w:lang w:val="es-CR" w:eastAsia="es-CR"/>
              </w:rPr>
              <w:t>200 clientes</w:t>
            </w:r>
          </w:p>
        </w:tc>
      </w:tr>
      <w:tr w:rsidR="008C0D55" w:rsidTr="006D116F" w14:paraId="15B9BB4F" w14:textId="77777777">
        <w:trPr>
          <w:trHeight w:val="252"/>
        </w:trPr>
        <w:tc>
          <w:tcPr>
            <w:cnfStyle w:val="001000000000" w:firstRow="0" w:lastRow="0" w:firstColumn="1" w:lastColumn="0" w:oddVBand="0" w:evenVBand="0" w:oddHBand="0" w:evenHBand="0" w:firstRowFirstColumn="0" w:firstRowLastColumn="0" w:lastRowFirstColumn="0" w:lastRowLastColumn="0"/>
            <w:tcW w:w="4884" w:type="dxa"/>
          </w:tcPr>
          <w:p w:rsidRPr="0011522D" w:rsidR="008C0D55" w:rsidP="005D50F8" w:rsidRDefault="008C0D55" w14:paraId="5F04D86B" w14:textId="77777777">
            <w:pPr>
              <w:spacing w:line="240" w:lineRule="auto"/>
              <w:jc w:val="left"/>
              <w:rPr>
                <w:rFonts w:cs="Calibri"/>
                <w:b w:val="0"/>
                <w:bCs w:val="0"/>
                <w:color w:val="000000"/>
                <w:szCs w:val="22"/>
                <w:lang w:val="es-CR" w:eastAsia="es-CR"/>
              </w:rPr>
            </w:pPr>
            <w:r w:rsidRPr="0011522D">
              <w:rPr>
                <w:rFonts w:cs="Calibri"/>
                <w:b w:val="0"/>
                <w:bCs w:val="0"/>
                <w:color w:val="000000"/>
                <w:szCs w:val="22"/>
                <w:lang w:val="es-CR" w:eastAsia="es-CR"/>
              </w:rPr>
              <w:t>Banco Bac San José</w:t>
            </w:r>
            <w:r>
              <w:rPr>
                <w:rFonts w:cs="Calibri"/>
                <w:b w:val="0"/>
                <w:bCs w:val="0"/>
                <w:color w:val="000000"/>
                <w:szCs w:val="22"/>
                <w:lang w:val="es-CR" w:eastAsia="es-CR"/>
              </w:rPr>
              <w:t>, S.A.</w:t>
            </w:r>
          </w:p>
        </w:tc>
        <w:tc>
          <w:tcPr>
            <w:tcW w:w="3302" w:type="dxa"/>
          </w:tcPr>
          <w:p w:rsidRPr="009E758E" w:rsidR="008C0D55" w:rsidP="005D50F8" w:rsidRDefault="008C0D55" w14:paraId="57EF631A" w14:textId="4D3500A5">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R" w:eastAsia="es-CR"/>
              </w:rPr>
            </w:pPr>
            <w:r w:rsidRPr="009E758E">
              <w:rPr>
                <w:rFonts w:cs="Calibri"/>
                <w:color w:val="000000"/>
                <w:szCs w:val="22"/>
                <w:lang w:val="es-CR" w:eastAsia="es-CR"/>
              </w:rPr>
              <w:t>200 cliente</w:t>
            </w:r>
            <w:r w:rsidR="00D1091A">
              <w:rPr>
                <w:rFonts w:cs="Calibri"/>
                <w:color w:val="000000"/>
                <w:szCs w:val="22"/>
                <w:lang w:val="es-CR" w:eastAsia="es-CR"/>
              </w:rPr>
              <w:t>s</w:t>
            </w:r>
          </w:p>
        </w:tc>
      </w:tr>
      <w:tr w:rsidR="008C0D55" w:rsidTr="006D116F" w14:paraId="605AD09C" w14:textId="77777777">
        <w:trPr>
          <w:trHeight w:val="252"/>
        </w:trPr>
        <w:tc>
          <w:tcPr>
            <w:cnfStyle w:val="001000000000" w:firstRow="0" w:lastRow="0" w:firstColumn="1" w:lastColumn="0" w:oddVBand="0" w:evenVBand="0" w:oddHBand="0" w:evenHBand="0" w:firstRowFirstColumn="0" w:firstRowLastColumn="0" w:lastRowFirstColumn="0" w:lastRowLastColumn="0"/>
            <w:tcW w:w="4884" w:type="dxa"/>
          </w:tcPr>
          <w:p w:rsidRPr="0011522D" w:rsidR="008C0D55" w:rsidP="005D50F8" w:rsidRDefault="008C0D55" w14:paraId="11537788" w14:textId="77777777">
            <w:pPr>
              <w:spacing w:line="240" w:lineRule="auto"/>
              <w:jc w:val="left"/>
              <w:rPr>
                <w:rFonts w:cs="Calibri"/>
                <w:b w:val="0"/>
                <w:bCs w:val="0"/>
                <w:color w:val="000000"/>
                <w:szCs w:val="22"/>
                <w:lang w:val="es-CR" w:eastAsia="es-CR"/>
              </w:rPr>
            </w:pPr>
            <w:r w:rsidRPr="0011522D">
              <w:rPr>
                <w:rFonts w:cs="Calibri"/>
                <w:b w:val="0"/>
                <w:bCs w:val="0"/>
                <w:color w:val="000000"/>
                <w:szCs w:val="22"/>
                <w:lang w:val="es-CR" w:eastAsia="es-CR"/>
              </w:rPr>
              <w:t>Coopealianza, R.L.</w:t>
            </w:r>
          </w:p>
        </w:tc>
        <w:tc>
          <w:tcPr>
            <w:tcW w:w="3302" w:type="dxa"/>
          </w:tcPr>
          <w:p w:rsidRPr="009E758E" w:rsidR="008C0D55" w:rsidP="005D50F8" w:rsidRDefault="008C0D55" w14:paraId="4A1D47DD"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R" w:eastAsia="es-CR"/>
              </w:rPr>
            </w:pPr>
            <w:r w:rsidRPr="009E758E">
              <w:rPr>
                <w:rFonts w:cs="Calibri"/>
                <w:color w:val="000000"/>
                <w:szCs w:val="22"/>
                <w:lang w:val="es-CR" w:eastAsia="es-CR"/>
              </w:rPr>
              <w:t>100 clientes</w:t>
            </w:r>
          </w:p>
        </w:tc>
      </w:tr>
      <w:tr w:rsidR="008C0D55" w:rsidTr="006D116F" w14:paraId="456C6FB9" w14:textId="77777777">
        <w:trPr>
          <w:trHeight w:val="252"/>
        </w:trPr>
        <w:tc>
          <w:tcPr>
            <w:cnfStyle w:val="001000000000" w:firstRow="0" w:lastRow="0" w:firstColumn="1" w:lastColumn="0" w:oddVBand="0" w:evenVBand="0" w:oddHBand="0" w:evenHBand="0" w:firstRowFirstColumn="0" w:firstRowLastColumn="0" w:lastRowFirstColumn="0" w:lastRowLastColumn="0"/>
            <w:tcW w:w="4884" w:type="dxa"/>
            <w:tcBorders>
              <w:bottom w:val="single" w:color="BDD6EE" w:themeColor="accent1" w:themeTint="66" w:sz="4" w:space="0"/>
            </w:tcBorders>
          </w:tcPr>
          <w:p w:rsidRPr="0011522D" w:rsidR="008C0D55" w:rsidP="005D50F8" w:rsidRDefault="008C0D55" w14:paraId="1701DD05" w14:textId="77777777">
            <w:pPr>
              <w:spacing w:line="240" w:lineRule="auto"/>
              <w:jc w:val="left"/>
              <w:rPr>
                <w:rFonts w:cs="Calibri"/>
                <w:b w:val="0"/>
                <w:bCs w:val="0"/>
                <w:color w:val="000000"/>
                <w:szCs w:val="22"/>
                <w:lang w:val="es-CR" w:eastAsia="es-CR"/>
              </w:rPr>
            </w:pPr>
            <w:r w:rsidRPr="0011522D">
              <w:rPr>
                <w:rFonts w:cs="Calibri"/>
                <w:b w:val="0"/>
                <w:bCs w:val="0"/>
                <w:color w:val="000000"/>
                <w:szCs w:val="22"/>
                <w:lang w:val="es-CR" w:eastAsia="es-CR"/>
              </w:rPr>
              <w:t xml:space="preserve">Financiera Desyfin, </w:t>
            </w:r>
            <w:r>
              <w:rPr>
                <w:rFonts w:cs="Calibri"/>
                <w:b w:val="0"/>
                <w:bCs w:val="0"/>
                <w:color w:val="000000"/>
                <w:szCs w:val="22"/>
                <w:lang w:val="es-CR" w:eastAsia="es-CR"/>
              </w:rPr>
              <w:t>S.A.</w:t>
            </w:r>
          </w:p>
        </w:tc>
        <w:tc>
          <w:tcPr>
            <w:tcW w:w="3302" w:type="dxa"/>
            <w:tcBorders>
              <w:bottom w:val="single" w:color="BDD6EE" w:themeColor="accent1" w:themeTint="66" w:sz="4" w:space="0"/>
            </w:tcBorders>
          </w:tcPr>
          <w:p w:rsidRPr="009E758E" w:rsidR="008C0D55" w:rsidP="005D50F8" w:rsidRDefault="008C0D55" w14:paraId="3D88D552"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R" w:eastAsia="es-CR"/>
              </w:rPr>
            </w:pPr>
            <w:r w:rsidRPr="009E758E">
              <w:rPr>
                <w:rFonts w:cs="Calibri"/>
                <w:color w:val="000000"/>
                <w:szCs w:val="22"/>
                <w:lang w:val="es-CR" w:eastAsia="es-CR"/>
              </w:rPr>
              <w:t>100 clientes</w:t>
            </w:r>
          </w:p>
        </w:tc>
      </w:tr>
      <w:tr w:rsidR="008C0D55" w:rsidTr="006D116F" w14:paraId="3D713253" w14:textId="77777777">
        <w:trPr>
          <w:trHeight w:val="252"/>
        </w:trPr>
        <w:tc>
          <w:tcPr>
            <w:cnfStyle w:val="001000000000" w:firstRow="0" w:lastRow="0" w:firstColumn="1" w:lastColumn="0" w:oddVBand="0" w:evenVBand="0" w:oddHBand="0" w:evenHBand="0" w:firstRowFirstColumn="0" w:firstRowLastColumn="0" w:lastRowFirstColumn="0" w:lastRowLastColumn="0"/>
            <w:tcW w:w="4884" w:type="dxa"/>
            <w:tcBorders>
              <w:bottom w:val="single" w:color="BDD6EE" w:themeColor="accent1" w:themeTint="66" w:sz="4" w:space="0"/>
            </w:tcBorders>
          </w:tcPr>
          <w:p w:rsidRPr="0011522D" w:rsidR="008C0D55" w:rsidP="005D50F8" w:rsidRDefault="008C0D55" w14:paraId="6C06EA3D" w14:textId="77777777">
            <w:pPr>
              <w:spacing w:line="240" w:lineRule="auto"/>
              <w:jc w:val="left"/>
              <w:rPr>
                <w:rFonts w:cs="Calibri"/>
                <w:color w:val="000000"/>
                <w:szCs w:val="22"/>
                <w:lang w:val="es-CR" w:eastAsia="es-CR"/>
              </w:rPr>
            </w:pPr>
          </w:p>
        </w:tc>
        <w:tc>
          <w:tcPr>
            <w:tcW w:w="3302" w:type="dxa"/>
            <w:tcBorders>
              <w:bottom w:val="single" w:color="BDD6EE" w:themeColor="accent1" w:themeTint="66" w:sz="4" w:space="0"/>
            </w:tcBorders>
          </w:tcPr>
          <w:p w:rsidRPr="009E758E" w:rsidR="008C0D55" w:rsidP="005D50F8" w:rsidRDefault="008C0D55" w14:paraId="605524CA"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R" w:eastAsia="es-CR"/>
              </w:rPr>
            </w:pPr>
          </w:p>
        </w:tc>
      </w:tr>
      <w:tr w:rsidRPr="00956E9A" w:rsidR="008C0D55" w:rsidTr="006D116F" w14:paraId="4FC0E2F0" w14:textId="77777777">
        <w:trPr>
          <w:trHeight w:val="237"/>
        </w:trPr>
        <w:tc>
          <w:tcPr>
            <w:cnfStyle w:val="001000000000" w:firstRow="0" w:lastRow="0" w:firstColumn="1" w:lastColumn="0" w:oddVBand="0" w:evenVBand="0" w:oddHBand="0" w:evenHBand="0" w:firstRowFirstColumn="0" w:firstRowLastColumn="0" w:lastRowFirstColumn="0" w:lastRowLastColumn="0"/>
            <w:tcW w:w="8186" w:type="dxa"/>
            <w:gridSpan w:val="2"/>
            <w:shd w:val="clear" w:color="auto" w:fill="DEEAF6" w:themeFill="accent1" w:themeFillTint="33"/>
          </w:tcPr>
          <w:p w:rsidRPr="009E758E" w:rsidR="008C0D55" w:rsidP="005D50F8" w:rsidRDefault="008C0D55" w14:paraId="3AA464EE" w14:textId="77777777">
            <w:pPr>
              <w:spacing w:line="240" w:lineRule="auto"/>
              <w:jc w:val="center"/>
              <w:rPr>
                <w:rFonts w:cs="Calibri"/>
                <w:color w:val="000000"/>
                <w:szCs w:val="22"/>
                <w:lang w:val="es-CR" w:eastAsia="es-CR"/>
              </w:rPr>
            </w:pPr>
            <w:bookmarkStart w:name="_Hlk77229475" w:id="7"/>
            <w:r>
              <w:rPr>
                <w:rFonts w:cs="Calibri"/>
                <w:color w:val="000000"/>
                <w:szCs w:val="22"/>
                <w:lang w:val="es-CR" w:eastAsia="es-CR"/>
              </w:rPr>
              <w:t>S</w:t>
            </w:r>
            <w:r w:rsidRPr="009E758E">
              <w:rPr>
                <w:rFonts w:cs="Calibri"/>
                <w:color w:val="000000"/>
                <w:szCs w:val="22"/>
                <w:lang w:val="es-CR" w:eastAsia="es-CR"/>
              </w:rPr>
              <w:t xml:space="preserve">egunda fase: Del </w:t>
            </w:r>
            <w:r>
              <w:rPr>
                <w:rFonts w:cs="Calibri"/>
                <w:color w:val="000000"/>
                <w:szCs w:val="22"/>
                <w:lang w:val="es-CR" w:eastAsia="es-CR"/>
              </w:rPr>
              <w:t>18</w:t>
            </w:r>
            <w:r w:rsidRPr="009E758E">
              <w:rPr>
                <w:rFonts w:cs="Calibri"/>
                <w:color w:val="000000"/>
                <w:szCs w:val="22"/>
                <w:lang w:val="es-CR" w:eastAsia="es-CR"/>
              </w:rPr>
              <w:t xml:space="preserve"> de octubre al 1</w:t>
            </w:r>
            <w:r>
              <w:rPr>
                <w:rFonts w:cs="Calibri"/>
                <w:color w:val="000000"/>
                <w:szCs w:val="22"/>
                <w:lang w:val="es-CR" w:eastAsia="es-CR"/>
              </w:rPr>
              <w:t>2</w:t>
            </w:r>
            <w:r w:rsidRPr="009E758E">
              <w:rPr>
                <w:rFonts w:cs="Calibri"/>
                <w:color w:val="000000"/>
                <w:szCs w:val="22"/>
                <w:lang w:val="es-CR" w:eastAsia="es-CR"/>
              </w:rPr>
              <w:t xml:space="preserve"> de noviembre del 2021</w:t>
            </w:r>
          </w:p>
        </w:tc>
      </w:tr>
      <w:bookmarkEnd w:id="7"/>
      <w:tr w:rsidR="008C0D55" w:rsidTr="006D116F" w14:paraId="45B919E6" w14:textId="77777777">
        <w:trPr>
          <w:trHeight w:val="252"/>
        </w:trPr>
        <w:tc>
          <w:tcPr>
            <w:cnfStyle w:val="001000000000" w:firstRow="0" w:lastRow="0" w:firstColumn="1" w:lastColumn="0" w:oddVBand="0" w:evenVBand="0" w:oddHBand="0" w:evenHBand="0" w:firstRowFirstColumn="0" w:firstRowLastColumn="0" w:lastRowFirstColumn="0" w:lastRowLastColumn="0"/>
            <w:tcW w:w="4884" w:type="dxa"/>
          </w:tcPr>
          <w:p w:rsidRPr="0011522D" w:rsidR="008C0D55" w:rsidP="005D50F8" w:rsidRDefault="008C0D55" w14:paraId="35CF0148" w14:textId="77777777">
            <w:pPr>
              <w:spacing w:line="240" w:lineRule="auto"/>
              <w:jc w:val="left"/>
              <w:rPr>
                <w:rFonts w:cs="Calibri"/>
                <w:b w:val="0"/>
                <w:bCs w:val="0"/>
                <w:color w:val="000000"/>
                <w:szCs w:val="22"/>
                <w:lang w:val="es-CR" w:eastAsia="es-CR"/>
              </w:rPr>
            </w:pPr>
            <w:r w:rsidRPr="0011522D">
              <w:rPr>
                <w:rFonts w:cs="Calibri"/>
                <w:b w:val="0"/>
                <w:bCs w:val="0"/>
                <w:color w:val="000000"/>
                <w:szCs w:val="22"/>
                <w:lang w:val="es-CR" w:eastAsia="es-CR"/>
              </w:rPr>
              <w:t>Banco de Costa Rica</w:t>
            </w:r>
          </w:p>
        </w:tc>
        <w:tc>
          <w:tcPr>
            <w:tcW w:w="3302" w:type="dxa"/>
          </w:tcPr>
          <w:p w:rsidRPr="009E758E" w:rsidR="008C0D55" w:rsidP="005D50F8" w:rsidRDefault="008C0D55" w14:paraId="6170F6CE"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R" w:eastAsia="es-CR"/>
              </w:rPr>
            </w:pPr>
            <w:r w:rsidRPr="009E758E">
              <w:rPr>
                <w:rFonts w:cs="Calibri"/>
                <w:color w:val="000000"/>
                <w:szCs w:val="22"/>
                <w:lang w:val="es-CR" w:eastAsia="es-CR"/>
              </w:rPr>
              <w:t>200 clientes</w:t>
            </w:r>
          </w:p>
        </w:tc>
      </w:tr>
      <w:tr w:rsidR="008C0D55" w:rsidTr="006D116F" w14:paraId="26EA4DB3" w14:textId="77777777">
        <w:trPr>
          <w:trHeight w:val="252"/>
        </w:trPr>
        <w:tc>
          <w:tcPr>
            <w:cnfStyle w:val="001000000000" w:firstRow="0" w:lastRow="0" w:firstColumn="1" w:lastColumn="0" w:oddVBand="0" w:evenVBand="0" w:oddHBand="0" w:evenHBand="0" w:firstRowFirstColumn="0" w:firstRowLastColumn="0" w:lastRowFirstColumn="0" w:lastRowLastColumn="0"/>
            <w:tcW w:w="4884" w:type="dxa"/>
          </w:tcPr>
          <w:p w:rsidRPr="0011522D" w:rsidR="008C0D55" w:rsidP="005D50F8" w:rsidRDefault="008C0D55" w14:paraId="692356F5" w14:textId="77777777">
            <w:pPr>
              <w:spacing w:line="240" w:lineRule="auto"/>
              <w:jc w:val="left"/>
              <w:rPr>
                <w:rFonts w:cs="Calibri"/>
                <w:b w:val="0"/>
                <w:bCs w:val="0"/>
                <w:color w:val="000000"/>
                <w:szCs w:val="22"/>
                <w:lang w:val="es-CR" w:eastAsia="es-CR"/>
              </w:rPr>
            </w:pPr>
            <w:r w:rsidRPr="0011522D">
              <w:rPr>
                <w:rFonts w:cs="Calibri"/>
                <w:b w:val="0"/>
                <w:bCs w:val="0"/>
                <w:color w:val="000000"/>
                <w:szCs w:val="22"/>
                <w:lang w:val="es-CR" w:eastAsia="es-CR"/>
              </w:rPr>
              <w:t>Banco Davivienda (Costa Rica) S.A.</w:t>
            </w:r>
          </w:p>
        </w:tc>
        <w:tc>
          <w:tcPr>
            <w:tcW w:w="3302" w:type="dxa"/>
          </w:tcPr>
          <w:p w:rsidRPr="009E758E" w:rsidR="008C0D55" w:rsidP="005D50F8" w:rsidRDefault="008C0D55" w14:paraId="0BCBDD02"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R" w:eastAsia="es-CR"/>
              </w:rPr>
            </w:pPr>
            <w:r w:rsidRPr="009E758E">
              <w:rPr>
                <w:rFonts w:cs="Calibri"/>
                <w:color w:val="000000"/>
                <w:szCs w:val="22"/>
                <w:lang w:val="es-CR" w:eastAsia="es-CR"/>
              </w:rPr>
              <w:t>100 clientes</w:t>
            </w:r>
          </w:p>
        </w:tc>
      </w:tr>
      <w:tr w:rsidR="008C0D55" w:rsidTr="006D116F" w14:paraId="2DB015C8" w14:textId="77777777">
        <w:trPr>
          <w:trHeight w:val="252"/>
        </w:trPr>
        <w:tc>
          <w:tcPr>
            <w:cnfStyle w:val="001000000000" w:firstRow="0" w:lastRow="0" w:firstColumn="1" w:lastColumn="0" w:oddVBand="0" w:evenVBand="0" w:oddHBand="0" w:evenHBand="0" w:firstRowFirstColumn="0" w:firstRowLastColumn="0" w:lastRowFirstColumn="0" w:lastRowLastColumn="0"/>
            <w:tcW w:w="4884" w:type="dxa"/>
          </w:tcPr>
          <w:p w:rsidRPr="0011522D" w:rsidR="008C0D55" w:rsidP="005D50F8" w:rsidRDefault="008C0D55" w14:paraId="05B399CF" w14:textId="77777777">
            <w:pPr>
              <w:spacing w:line="240" w:lineRule="auto"/>
              <w:jc w:val="left"/>
              <w:rPr>
                <w:rFonts w:cs="Calibri"/>
                <w:b w:val="0"/>
                <w:bCs w:val="0"/>
                <w:color w:val="000000"/>
                <w:szCs w:val="22"/>
                <w:lang w:val="es-CR" w:eastAsia="es-CR"/>
              </w:rPr>
            </w:pPr>
            <w:r w:rsidRPr="0011522D">
              <w:rPr>
                <w:rFonts w:cs="Calibri"/>
                <w:b w:val="0"/>
                <w:bCs w:val="0"/>
                <w:color w:val="000000"/>
                <w:szCs w:val="22"/>
                <w:lang w:val="es-CR" w:eastAsia="es-CR"/>
              </w:rPr>
              <w:t>Scotiabank de Costa Rica S.A.</w:t>
            </w:r>
          </w:p>
        </w:tc>
        <w:tc>
          <w:tcPr>
            <w:tcW w:w="3302" w:type="dxa"/>
          </w:tcPr>
          <w:p w:rsidRPr="009E758E" w:rsidR="008C0D55" w:rsidP="005D50F8" w:rsidRDefault="008C0D55" w14:paraId="56203C24"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R" w:eastAsia="es-CR"/>
              </w:rPr>
            </w:pPr>
            <w:r w:rsidRPr="009E758E">
              <w:rPr>
                <w:rFonts w:cs="Calibri"/>
                <w:color w:val="000000"/>
                <w:szCs w:val="22"/>
                <w:lang w:val="es-CR" w:eastAsia="es-CR"/>
              </w:rPr>
              <w:t>100 clientes</w:t>
            </w:r>
          </w:p>
        </w:tc>
      </w:tr>
      <w:tr w:rsidR="008C0D55" w:rsidTr="006D116F" w14:paraId="250F7798" w14:textId="77777777">
        <w:trPr>
          <w:trHeight w:val="252"/>
        </w:trPr>
        <w:tc>
          <w:tcPr>
            <w:cnfStyle w:val="001000000000" w:firstRow="0" w:lastRow="0" w:firstColumn="1" w:lastColumn="0" w:oddVBand="0" w:evenVBand="0" w:oddHBand="0" w:evenHBand="0" w:firstRowFirstColumn="0" w:firstRowLastColumn="0" w:lastRowFirstColumn="0" w:lastRowLastColumn="0"/>
            <w:tcW w:w="4884" w:type="dxa"/>
            <w:tcBorders>
              <w:bottom w:val="single" w:color="BDD6EE" w:themeColor="accent1" w:themeTint="66" w:sz="4" w:space="0"/>
            </w:tcBorders>
          </w:tcPr>
          <w:p w:rsidRPr="0011522D" w:rsidR="008C0D55" w:rsidP="005D50F8" w:rsidRDefault="008C0D55" w14:paraId="5740784A" w14:textId="77777777">
            <w:pPr>
              <w:spacing w:line="240" w:lineRule="auto"/>
              <w:jc w:val="left"/>
              <w:rPr>
                <w:rFonts w:cs="Calibri"/>
                <w:b w:val="0"/>
                <w:bCs w:val="0"/>
                <w:color w:val="000000"/>
                <w:szCs w:val="22"/>
                <w:lang w:val="es-CR" w:eastAsia="es-CR"/>
              </w:rPr>
            </w:pPr>
            <w:r w:rsidRPr="0011522D">
              <w:rPr>
                <w:rFonts w:cs="Calibri"/>
                <w:b w:val="0"/>
                <w:bCs w:val="0"/>
                <w:color w:val="000000"/>
                <w:szCs w:val="22"/>
                <w:lang w:val="es-CR" w:eastAsia="es-CR"/>
              </w:rPr>
              <w:t>Coopeservidores R.L.</w:t>
            </w:r>
          </w:p>
        </w:tc>
        <w:tc>
          <w:tcPr>
            <w:tcW w:w="3302" w:type="dxa"/>
            <w:tcBorders>
              <w:bottom w:val="single" w:color="BDD6EE" w:themeColor="accent1" w:themeTint="66" w:sz="4" w:space="0"/>
            </w:tcBorders>
          </w:tcPr>
          <w:p w:rsidRPr="009E758E" w:rsidR="008C0D55" w:rsidP="005D50F8" w:rsidRDefault="008C0D55" w14:paraId="5F539888"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R" w:eastAsia="es-CR"/>
              </w:rPr>
            </w:pPr>
            <w:r w:rsidRPr="009E758E">
              <w:rPr>
                <w:rFonts w:cs="Calibri"/>
                <w:color w:val="000000"/>
                <w:szCs w:val="22"/>
                <w:lang w:val="es-CR" w:eastAsia="es-CR"/>
              </w:rPr>
              <w:t>100 clientes</w:t>
            </w:r>
          </w:p>
        </w:tc>
      </w:tr>
      <w:tr w:rsidR="008C0D55" w:rsidTr="006D116F" w14:paraId="51BADF97" w14:textId="77777777">
        <w:trPr>
          <w:trHeight w:val="252"/>
        </w:trPr>
        <w:tc>
          <w:tcPr>
            <w:cnfStyle w:val="001000000000" w:firstRow="0" w:lastRow="0" w:firstColumn="1" w:lastColumn="0" w:oddVBand="0" w:evenVBand="0" w:oddHBand="0" w:evenHBand="0" w:firstRowFirstColumn="0" w:firstRowLastColumn="0" w:lastRowFirstColumn="0" w:lastRowLastColumn="0"/>
            <w:tcW w:w="4884" w:type="dxa"/>
            <w:tcBorders>
              <w:bottom w:val="single" w:color="BDD6EE" w:themeColor="accent1" w:themeTint="66" w:sz="4" w:space="0"/>
            </w:tcBorders>
          </w:tcPr>
          <w:p w:rsidRPr="0011522D" w:rsidR="008C0D55" w:rsidP="005D50F8" w:rsidRDefault="008C0D55" w14:paraId="5D6BC20E" w14:textId="77777777">
            <w:pPr>
              <w:spacing w:line="240" w:lineRule="auto"/>
              <w:jc w:val="left"/>
              <w:rPr>
                <w:rFonts w:cs="Calibri"/>
                <w:color w:val="000000"/>
                <w:szCs w:val="22"/>
                <w:lang w:val="es-CR" w:eastAsia="es-CR"/>
              </w:rPr>
            </w:pPr>
          </w:p>
        </w:tc>
        <w:tc>
          <w:tcPr>
            <w:tcW w:w="3302" w:type="dxa"/>
            <w:tcBorders>
              <w:bottom w:val="single" w:color="BDD6EE" w:themeColor="accent1" w:themeTint="66" w:sz="4" w:space="0"/>
            </w:tcBorders>
          </w:tcPr>
          <w:p w:rsidRPr="009E758E" w:rsidR="008C0D55" w:rsidP="005D50F8" w:rsidRDefault="008C0D55" w14:paraId="0A008A00"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R" w:eastAsia="es-CR"/>
              </w:rPr>
            </w:pPr>
          </w:p>
        </w:tc>
      </w:tr>
      <w:tr w:rsidRPr="00956E9A" w:rsidR="008C0D55" w:rsidTr="006D116F" w14:paraId="404912E7" w14:textId="77777777">
        <w:trPr>
          <w:trHeight w:val="252"/>
        </w:trPr>
        <w:tc>
          <w:tcPr>
            <w:cnfStyle w:val="001000000000" w:firstRow="0" w:lastRow="0" w:firstColumn="1" w:lastColumn="0" w:oddVBand="0" w:evenVBand="0" w:oddHBand="0" w:evenHBand="0" w:firstRowFirstColumn="0" w:firstRowLastColumn="0" w:lastRowFirstColumn="0" w:lastRowLastColumn="0"/>
            <w:tcW w:w="8186" w:type="dxa"/>
            <w:gridSpan w:val="2"/>
            <w:shd w:val="clear" w:color="auto" w:fill="DEEAF6" w:themeFill="accent1" w:themeFillTint="33"/>
          </w:tcPr>
          <w:p w:rsidRPr="009E758E" w:rsidR="008C0D55" w:rsidP="005D50F8" w:rsidRDefault="008C0D55" w14:paraId="09208989" w14:textId="77777777">
            <w:pPr>
              <w:spacing w:line="240" w:lineRule="auto"/>
              <w:jc w:val="center"/>
              <w:rPr>
                <w:rFonts w:cs="Calibri"/>
                <w:color w:val="000000"/>
                <w:szCs w:val="22"/>
                <w:lang w:val="es-CR" w:eastAsia="es-CR"/>
              </w:rPr>
            </w:pPr>
            <w:r>
              <w:rPr>
                <w:rFonts w:cs="Calibri"/>
                <w:color w:val="000000"/>
                <w:szCs w:val="22"/>
                <w:lang w:val="es-CR" w:eastAsia="es-CR"/>
              </w:rPr>
              <w:t>T</w:t>
            </w:r>
            <w:r w:rsidRPr="009E758E">
              <w:rPr>
                <w:rFonts w:cs="Calibri"/>
                <w:color w:val="000000"/>
                <w:szCs w:val="22"/>
                <w:lang w:val="es-CR" w:eastAsia="es-CR"/>
              </w:rPr>
              <w:t xml:space="preserve">ercera fase: </w:t>
            </w:r>
            <w:r>
              <w:rPr>
                <w:rFonts w:cs="Calibri"/>
                <w:color w:val="000000"/>
                <w:szCs w:val="22"/>
                <w:lang w:val="es-CR" w:eastAsia="es-CR"/>
              </w:rPr>
              <w:t xml:space="preserve">Del 15 de noviembre al 10 de diciembre del 2021 </w:t>
            </w:r>
          </w:p>
        </w:tc>
      </w:tr>
      <w:tr w:rsidR="008C0D55" w:rsidTr="006D116F" w14:paraId="7CF27751" w14:textId="77777777">
        <w:trPr>
          <w:trHeight w:val="237"/>
        </w:trPr>
        <w:tc>
          <w:tcPr>
            <w:cnfStyle w:val="001000000000" w:firstRow="0" w:lastRow="0" w:firstColumn="1" w:lastColumn="0" w:oddVBand="0" w:evenVBand="0" w:oddHBand="0" w:evenHBand="0" w:firstRowFirstColumn="0" w:firstRowLastColumn="0" w:lastRowFirstColumn="0" w:lastRowLastColumn="0"/>
            <w:tcW w:w="4884" w:type="dxa"/>
          </w:tcPr>
          <w:p w:rsidRPr="0011522D" w:rsidR="008C0D55" w:rsidP="005D50F8" w:rsidRDefault="008C0D55" w14:paraId="4E67025B" w14:textId="77777777">
            <w:pPr>
              <w:spacing w:line="240" w:lineRule="auto"/>
              <w:jc w:val="left"/>
              <w:rPr>
                <w:rFonts w:cs="Calibri"/>
                <w:b w:val="0"/>
                <w:bCs w:val="0"/>
                <w:color w:val="000000"/>
                <w:szCs w:val="22"/>
                <w:lang w:val="es-CR" w:eastAsia="es-CR"/>
              </w:rPr>
            </w:pPr>
            <w:r w:rsidRPr="0011522D">
              <w:rPr>
                <w:rFonts w:cs="Calibri"/>
                <w:b w:val="0"/>
                <w:bCs w:val="0"/>
                <w:color w:val="000000"/>
                <w:szCs w:val="22"/>
                <w:lang w:val="es-CR" w:eastAsia="es-CR"/>
              </w:rPr>
              <w:t>Banco Popular y de Desarrollo Comunal</w:t>
            </w:r>
          </w:p>
        </w:tc>
        <w:tc>
          <w:tcPr>
            <w:tcW w:w="3302" w:type="dxa"/>
          </w:tcPr>
          <w:p w:rsidRPr="009E758E" w:rsidR="008C0D55" w:rsidP="005D50F8" w:rsidRDefault="008C0D55" w14:paraId="60D2401D"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R" w:eastAsia="es-CR"/>
              </w:rPr>
            </w:pPr>
            <w:r w:rsidRPr="009E758E">
              <w:rPr>
                <w:rFonts w:cs="Calibri"/>
                <w:color w:val="000000"/>
                <w:szCs w:val="22"/>
                <w:lang w:val="es-CR" w:eastAsia="es-CR"/>
              </w:rPr>
              <w:t>200 clientes</w:t>
            </w:r>
          </w:p>
        </w:tc>
      </w:tr>
      <w:tr w:rsidR="008C0D55" w:rsidTr="006D116F" w14:paraId="4F1124EF" w14:textId="77777777">
        <w:trPr>
          <w:trHeight w:val="252"/>
        </w:trPr>
        <w:tc>
          <w:tcPr>
            <w:cnfStyle w:val="001000000000" w:firstRow="0" w:lastRow="0" w:firstColumn="1" w:lastColumn="0" w:oddVBand="0" w:evenVBand="0" w:oddHBand="0" w:evenHBand="0" w:firstRowFirstColumn="0" w:firstRowLastColumn="0" w:lastRowFirstColumn="0" w:lastRowLastColumn="0"/>
            <w:tcW w:w="4884" w:type="dxa"/>
          </w:tcPr>
          <w:p w:rsidRPr="0011522D" w:rsidR="008C0D55" w:rsidP="005D50F8" w:rsidRDefault="008C0D55" w14:paraId="7CD85602" w14:textId="77777777">
            <w:pPr>
              <w:spacing w:line="240" w:lineRule="auto"/>
              <w:jc w:val="left"/>
              <w:rPr>
                <w:rFonts w:cs="Calibri"/>
                <w:b w:val="0"/>
                <w:bCs w:val="0"/>
                <w:color w:val="000000"/>
                <w:szCs w:val="22"/>
                <w:lang w:val="es-CR" w:eastAsia="es-CR"/>
              </w:rPr>
            </w:pPr>
            <w:r w:rsidRPr="0011522D">
              <w:rPr>
                <w:rFonts w:cs="Calibri"/>
                <w:b w:val="0"/>
                <w:bCs w:val="0"/>
                <w:color w:val="000000"/>
                <w:szCs w:val="22"/>
                <w:lang w:val="es-CR" w:eastAsia="es-CR"/>
              </w:rPr>
              <w:t>Coopenae, R.L.</w:t>
            </w:r>
          </w:p>
        </w:tc>
        <w:tc>
          <w:tcPr>
            <w:tcW w:w="3302" w:type="dxa"/>
          </w:tcPr>
          <w:p w:rsidRPr="009E758E" w:rsidR="008C0D55" w:rsidP="005D50F8" w:rsidRDefault="008C0D55" w14:paraId="12688709"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R" w:eastAsia="es-CR"/>
              </w:rPr>
            </w:pPr>
            <w:r w:rsidRPr="009E758E">
              <w:rPr>
                <w:rFonts w:cs="Calibri"/>
                <w:color w:val="000000"/>
                <w:szCs w:val="22"/>
                <w:lang w:val="es-CR" w:eastAsia="es-CR"/>
              </w:rPr>
              <w:t>100 clientes</w:t>
            </w:r>
          </w:p>
        </w:tc>
      </w:tr>
      <w:tr w:rsidR="008C0D55" w:rsidTr="006D116F" w14:paraId="06F40E05" w14:textId="77777777">
        <w:trPr>
          <w:trHeight w:val="252"/>
        </w:trPr>
        <w:tc>
          <w:tcPr>
            <w:cnfStyle w:val="001000000000" w:firstRow="0" w:lastRow="0" w:firstColumn="1" w:lastColumn="0" w:oddVBand="0" w:evenVBand="0" w:oddHBand="0" w:evenHBand="0" w:firstRowFirstColumn="0" w:firstRowLastColumn="0" w:lastRowFirstColumn="0" w:lastRowLastColumn="0"/>
            <w:tcW w:w="4884" w:type="dxa"/>
          </w:tcPr>
          <w:p w:rsidRPr="0011522D" w:rsidR="008C0D55" w:rsidP="005D50F8" w:rsidRDefault="008C0D55" w14:paraId="5FC2B54C" w14:textId="77777777">
            <w:pPr>
              <w:spacing w:line="240" w:lineRule="auto"/>
              <w:jc w:val="left"/>
              <w:rPr>
                <w:rFonts w:cs="Calibri"/>
                <w:b w:val="0"/>
                <w:bCs w:val="0"/>
                <w:color w:val="000000"/>
                <w:szCs w:val="22"/>
                <w:lang w:val="es-CR" w:eastAsia="es-CR"/>
              </w:rPr>
            </w:pPr>
            <w:r w:rsidRPr="0011522D">
              <w:rPr>
                <w:rFonts w:cs="Calibri"/>
                <w:b w:val="0"/>
                <w:bCs w:val="0"/>
                <w:color w:val="000000"/>
                <w:szCs w:val="22"/>
                <w:lang w:val="es-CR" w:eastAsia="es-CR"/>
              </w:rPr>
              <w:t>Banco Lafise</w:t>
            </w:r>
            <w:r>
              <w:rPr>
                <w:rFonts w:cs="Calibri"/>
                <w:b w:val="0"/>
                <w:bCs w:val="0"/>
                <w:color w:val="000000"/>
                <w:szCs w:val="22"/>
                <w:lang w:val="es-CR" w:eastAsia="es-CR"/>
              </w:rPr>
              <w:t>, S.A.</w:t>
            </w:r>
          </w:p>
        </w:tc>
        <w:tc>
          <w:tcPr>
            <w:tcW w:w="3302" w:type="dxa"/>
          </w:tcPr>
          <w:p w:rsidRPr="009E758E" w:rsidR="008C0D55" w:rsidP="005D50F8" w:rsidRDefault="008C0D55" w14:paraId="4BB20198"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R" w:eastAsia="es-CR"/>
              </w:rPr>
            </w:pPr>
            <w:r w:rsidRPr="009E758E">
              <w:rPr>
                <w:rFonts w:cs="Calibri"/>
                <w:color w:val="000000"/>
                <w:szCs w:val="22"/>
                <w:lang w:val="es-CR" w:eastAsia="es-CR"/>
              </w:rPr>
              <w:t>100 clientes</w:t>
            </w:r>
          </w:p>
        </w:tc>
      </w:tr>
      <w:tr w:rsidR="008C0D55" w:rsidTr="006D116F" w14:paraId="7048A514" w14:textId="77777777">
        <w:trPr>
          <w:trHeight w:val="252"/>
        </w:trPr>
        <w:tc>
          <w:tcPr>
            <w:cnfStyle w:val="001000000000" w:firstRow="0" w:lastRow="0" w:firstColumn="1" w:lastColumn="0" w:oddVBand="0" w:evenVBand="0" w:oddHBand="0" w:evenHBand="0" w:firstRowFirstColumn="0" w:firstRowLastColumn="0" w:lastRowFirstColumn="0" w:lastRowLastColumn="0"/>
            <w:tcW w:w="4884" w:type="dxa"/>
          </w:tcPr>
          <w:p w:rsidRPr="0011522D" w:rsidR="008C0D55" w:rsidP="005D50F8" w:rsidRDefault="008C0D55" w14:paraId="5BCA9B93" w14:textId="77777777">
            <w:pPr>
              <w:spacing w:line="240" w:lineRule="auto"/>
              <w:jc w:val="left"/>
              <w:rPr>
                <w:rFonts w:cs="Calibri"/>
                <w:b w:val="0"/>
                <w:bCs w:val="0"/>
                <w:color w:val="000000"/>
                <w:szCs w:val="22"/>
                <w:lang w:val="es-CR" w:eastAsia="es-CR"/>
              </w:rPr>
            </w:pPr>
            <w:r w:rsidRPr="0011522D">
              <w:rPr>
                <w:rFonts w:cs="Calibri"/>
                <w:b w:val="0"/>
                <w:bCs w:val="0"/>
                <w:color w:val="000000"/>
                <w:szCs w:val="22"/>
                <w:lang w:val="es-CR" w:eastAsia="es-CR"/>
              </w:rPr>
              <w:t>Banco Improsa</w:t>
            </w:r>
            <w:r>
              <w:rPr>
                <w:rFonts w:cs="Calibri"/>
                <w:b w:val="0"/>
                <w:bCs w:val="0"/>
                <w:color w:val="000000"/>
                <w:szCs w:val="22"/>
                <w:lang w:val="es-CR" w:eastAsia="es-CR"/>
              </w:rPr>
              <w:t>, S.A.</w:t>
            </w:r>
          </w:p>
        </w:tc>
        <w:tc>
          <w:tcPr>
            <w:tcW w:w="3302" w:type="dxa"/>
          </w:tcPr>
          <w:p w:rsidRPr="009E758E" w:rsidR="008C0D55" w:rsidP="005D50F8" w:rsidRDefault="008C0D55" w14:paraId="06BF345E"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Cs w:val="22"/>
                <w:lang w:val="es-CR" w:eastAsia="es-CR"/>
              </w:rPr>
            </w:pPr>
            <w:r w:rsidRPr="009E758E">
              <w:rPr>
                <w:rFonts w:cs="Calibri"/>
                <w:color w:val="000000"/>
                <w:szCs w:val="22"/>
                <w:lang w:val="es-CR" w:eastAsia="es-CR"/>
              </w:rPr>
              <w:t>100 clientes</w:t>
            </w:r>
          </w:p>
        </w:tc>
      </w:tr>
      <w:bookmarkEnd w:id="6"/>
    </w:tbl>
    <w:p w:rsidR="008C0D55" w:rsidP="008C0D55" w:rsidRDefault="008C0D55" w14:paraId="2DF1F38B" w14:textId="77777777">
      <w:pPr>
        <w:pStyle w:val="Texto"/>
        <w:spacing w:before="0" w:after="0" w:line="240" w:lineRule="auto"/>
        <w:rPr>
          <w:sz w:val="24"/>
        </w:rPr>
      </w:pPr>
    </w:p>
    <w:p w:rsidRPr="0091112D" w:rsidR="00684B8C" w:rsidP="00684B8C" w:rsidRDefault="00684B8C" w14:paraId="5B0042D6" w14:textId="77777777">
      <w:pPr>
        <w:pStyle w:val="Texto"/>
        <w:numPr>
          <w:ilvl w:val="0"/>
          <w:numId w:val="4"/>
        </w:numPr>
        <w:spacing w:before="0" w:after="0" w:line="240" w:lineRule="auto"/>
        <w:rPr>
          <w:sz w:val="24"/>
        </w:rPr>
      </w:pPr>
      <w:r w:rsidRPr="0091112D">
        <w:rPr>
          <w:sz w:val="24"/>
        </w:rPr>
        <w:t>Con el fin de obtener una muestra que considere la mayor variedad de clientes y probar las funcionalidades que el sistema CICAC tiene disponibles, el sujeto obligado, para realizar la escogencia de los clientes a incluir en el CICAC, debe considerar las características que se detallan a continuación:</w:t>
      </w:r>
    </w:p>
    <w:p w:rsidR="00684B8C" w:rsidP="00684B8C" w:rsidRDefault="00684B8C" w14:paraId="3410E1E9" w14:textId="77777777">
      <w:pPr>
        <w:pStyle w:val="Texto"/>
        <w:spacing w:before="0" w:after="0" w:line="240" w:lineRule="auto"/>
        <w:ind w:left="360"/>
        <w:rPr>
          <w:sz w:val="24"/>
        </w:rPr>
      </w:pPr>
    </w:p>
    <w:p w:rsidR="00684B8C" w:rsidP="00684B8C" w:rsidRDefault="00684B8C" w14:paraId="06B77D24" w14:textId="77777777">
      <w:pPr>
        <w:pStyle w:val="Texto"/>
        <w:numPr>
          <w:ilvl w:val="0"/>
          <w:numId w:val="6"/>
        </w:numPr>
        <w:spacing w:before="0" w:after="0" w:line="240" w:lineRule="auto"/>
        <w:rPr>
          <w:sz w:val="24"/>
        </w:rPr>
      </w:pPr>
      <w:r>
        <w:rPr>
          <w:sz w:val="24"/>
        </w:rPr>
        <w:t xml:space="preserve">Personas físicas con identificaciones tipo: DIDI, Dimex y cédula nacional. </w:t>
      </w:r>
    </w:p>
    <w:p w:rsidR="00684B8C" w:rsidP="00684B8C" w:rsidRDefault="00684B8C" w14:paraId="48488B38" w14:textId="77777777">
      <w:pPr>
        <w:pStyle w:val="Texto"/>
        <w:numPr>
          <w:ilvl w:val="0"/>
          <w:numId w:val="6"/>
        </w:numPr>
        <w:spacing w:before="0" w:after="0" w:line="240" w:lineRule="auto"/>
        <w:rPr>
          <w:sz w:val="24"/>
        </w:rPr>
      </w:pPr>
      <w:r>
        <w:rPr>
          <w:sz w:val="24"/>
        </w:rPr>
        <w:t xml:space="preserve">Personas jurídicas con identificación tipo: nacional. </w:t>
      </w:r>
    </w:p>
    <w:p w:rsidR="00684B8C" w:rsidP="00684B8C" w:rsidRDefault="00684B8C" w14:paraId="2211C594" w14:textId="77777777">
      <w:pPr>
        <w:pStyle w:val="Texto"/>
        <w:numPr>
          <w:ilvl w:val="0"/>
          <w:numId w:val="6"/>
        </w:numPr>
        <w:spacing w:before="0" w:after="0" w:line="240" w:lineRule="auto"/>
        <w:rPr>
          <w:sz w:val="24"/>
        </w:rPr>
      </w:pPr>
      <w:r>
        <w:rPr>
          <w:sz w:val="24"/>
        </w:rPr>
        <w:lastRenderedPageBreak/>
        <w:t xml:space="preserve">Clientes tipo persona física, que se encuentren inscritos por el artículo 15 Bis de la Ley 7786. </w:t>
      </w:r>
    </w:p>
    <w:p w:rsidR="00684B8C" w:rsidP="00684B8C" w:rsidRDefault="00684B8C" w14:paraId="1ED57744" w14:textId="77777777">
      <w:pPr>
        <w:pStyle w:val="Texto"/>
        <w:numPr>
          <w:ilvl w:val="0"/>
          <w:numId w:val="6"/>
        </w:numPr>
        <w:spacing w:before="0" w:after="0" w:line="240" w:lineRule="auto"/>
        <w:rPr>
          <w:sz w:val="24"/>
        </w:rPr>
      </w:pPr>
      <w:r>
        <w:rPr>
          <w:sz w:val="24"/>
        </w:rPr>
        <w:t>Clientes tipo persona jurídica, que se encuentren inscritos por el artículo 15 o 15 bis de la Ley 77</w:t>
      </w:r>
      <w:r w:rsidRPr="00104138">
        <w:rPr>
          <w:sz w:val="24"/>
        </w:rPr>
        <w:t>86.</w:t>
      </w:r>
    </w:p>
    <w:p w:rsidR="00684B8C" w:rsidP="00684B8C" w:rsidRDefault="00684B8C" w14:paraId="7E4D1D87" w14:textId="77777777">
      <w:pPr>
        <w:pStyle w:val="Texto"/>
        <w:numPr>
          <w:ilvl w:val="0"/>
          <w:numId w:val="6"/>
        </w:numPr>
        <w:spacing w:before="0" w:after="0" w:line="240" w:lineRule="auto"/>
        <w:rPr>
          <w:sz w:val="24"/>
        </w:rPr>
      </w:pPr>
      <w:r>
        <w:rPr>
          <w:sz w:val="24"/>
        </w:rPr>
        <w:t xml:space="preserve">Clientes tipo persona física que realicen actividades económicas en Costa Rica y/o en el extranjero y personas que reciben ingresos aportados por terceras personas. </w:t>
      </w:r>
      <w:r w:rsidRPr="00104138">
        <w:rPr>
          <w:sz w:val="24"/>
          <w:u w:val="single"/>
        </w:rPr>
        <w:t xml:space="preserve">No se deben incluir </w:t>
      </w:r>
      <w:r>
        <w:rPr>
          <w:sz w:val="24"/>
          <w:u w:val="single"/>
        </w:rPr>
        <w:t xml:space="preserve">como parte del plan piloto </w:t>
      </w:r>
      <w:r w:rsidRPr="00104138">
        <w:rPr>
          <w:sz w:val="24"/>
          <w:u w:val="single"/>
        </w:rPr>
        <w:t>personas físicas que sean “Asalariadas” o “Pensionadas”</w:t>
      </w:r>
      <w:r w:rsidRPr="004F0B8B">
        <w:rPr>
          <w:sz w:val="24"/>
        </w:rPr>
        <w:t>.</w:t>
      </w:r>
    </w:p>
    <w:p w:rsidR="00684B8C" w:rsidP="00684B8C" w:rsidRDefault="00684B8C" w14:paraId="6F72BC3A" w14:textId="717D7D09">
      <w:pPr>
        <w:pStyle w:val="Texto"/>
        <w:numPr>
          <w:ilvl w:val="0"/>
          <w:numId w:val="6"/>
        </w:numPr>
        <w:spacing w:before="0" w:after="0" w:line="240" w:lineRule="auto"/>
        <w:rPr>
          <w:sz w:val="24"/>
        </w:rPr>
      </w:pPr>
      <w:r>
        <w:rPr>
          <w:sz w:val="24"/>
        </w:rPr>
        <w:t xml:space="preserve">Clientes tipo persona jurídica que realicen actividades económicas en Costa Rica y/o en el extranjero. </w:t>
      </w:r>
    </w:p>
    <w:p w:rsidR="00684B8C" w:rsidP="00684B8C" w:rsidRDefault="006D116F" w14:paraId="1FABE466" w14:textId="4B8B2514">
      <w:pPr>
        <w:pStyle w:val="Texto"/>
        <w:numPr>
          <w:ilvl w:val="0"/>
          <w:numId w:val="6"/>
        </w:numPr>
        <w:spacing w:before="0" w:after="0" w:line="240" w:lineRule="auto"/>
        <w:rPr>
          <w:sz w:val="24"/>
        </w:rPr>
      </w:pPr>
      <w:r>
        <w:rPr>
          <w:sz w:val="24"/>
        </w:rPr>
        <w:t>Se debe c</w:t>
      </w:r>
      <w:r w:rsidRPr="000E237A" w:rsidR="00684B8C">
        <w:rPr>
          <w:sz w:val="24"/>
        </w:rPr>
        <w:t xml:space="preserve">onsiderar </w:t>
      </w:r>
      <w:r>
        <w:rPr>
          <w:sz w:val="24"/>
        </w:rPr>
        <w:t>la inclusión de</w:t>
      </w:r>
      <w:r w:rsidRPr="000E237A" w:rsidR="00684B8C">
        <w:rPr>
          <w:sz w:val="24"/>
        </w:rPr>
        <w:t xml:space="preserve"> clientes que cumplan con los rangos de transaccionalidad que se detallan a continuación. Esto tanto para personas físicas como para personas jurídicas. </w:t>
      </w:r>
    </w:p>
    <w:p w:rsidR="00684B8C" w:rsidP="00684B8C" w:rsidRDefault="00684B8C" w14:paraId="2065E31D" w14:textId="77777777">
      <w:pPr>
        <w:pStyle w:val="numeracion"/>
        <w:numPr>
          <w:ilvl w:val="0"/>
          <w:numId w:val="0"/>
        </w:numPr>
        <w:spacing w:before="0" w:after="0" w:line="240" w:lineRule="auto"/>
        <w:ind w:left="360" w:hanging="360"/>
        <w:rPr>
          <w:sz w:val="24"/>
        </w:rPr>
      </w:pPr>
    </w:p>
    <w:tbl>
      <w:tblPr>
        <w:tblW w:w="5080" w:type="dxa"/>
        <w:jc w:val="center"/>
        <w:tblCellMar>
          <w:left w:w="0" w:type="dxa"/>
          <w:right w:w="0" w:type="dxa"/>
        </w:tblCellMar>
        <w:tblLook w:val="0600" w:firstRow="0" w:lastRow="0" w:firstColumn="0" w:lastColumn="0" w:noHBand="1" w:noVBand="1"/>
      </w:tblPr>
      <w:tblGrid>
        <w:gridCol w:w="1500"/>
        <w:gridCol w:w="1280"/>
        <w:gridCol w:w="1060"/>
        <w:gridCol w:w="1240"/>
      </w:tblGrid>
      <w:tr w:rsidRPr="000E237A" w:rsidR="00684B8C" w:rsidTr="004C2E1A" w14:paraId="0268448B" w14:textId="77777777">
        <w:trPr>
          <w:trHeight w:val="219"/>
          <w:jc w:val="center"/>
        </w:trPr>
        <w:tc>
          <w:tcPr>
            <w:tcW w:w="5080" w:type="dxa"/>
            <w:gridSpan w:val="4"/>
            <w:tcBorders>
              <w:top w:val="single" w:color="60BAE6" w:sz="6" w:space="0"/>
              <w:left w:val="single" w:color="60BAE6" w:sz="6" w:space="0"/>
              <w:bottom w:val="single" w:color="60BAE6" w:sz="6" w:space="0"/>
              <w:right w:val="single" w:color="60BAE6" w:sz="6" w:space="0"/>
            </w:tcBorders>
            <w:shd w:val="clear" w:color="auto" w:fill="auto"/>
            <w:tcMar>
              <w:top w:w="15" w:type="dxa"/>
              <w:left w:w="15" w:type="dxa"/>
              <w:bottom w:w="0" w:type="dxa"/>
              <w:right w:w="15" w:type="dxa"/>
            </w:tcMar>
            <w:vAlign w:val="bottom"/>
            <w:hideMark/>
          </w:tcPr>
          <w:p w:rsidRPr="000E237A" w:rsidR="00684B8C" w:rsidP="004C2E1A" w:rsidRDefault="00684B8C" w14:paraId="7FC6A300" w14:textId="77777777">
            <w:pPr>
              <w:spacing w:line="240" w:lineRule="auto"/>
              <w:jc w:val="center"/>
              <w:textAlignment w:val="bottom"/>
              <w:rPr>
                <w:rFonts w:ascii="Arial" w:hAnsi="Arial" w:cs="Arial"/>
                <w:sz w:val="36"/>
                <w:szCs w:val="36"/>
                <w:lang w:val="es-CR" w:eastAsia="es-CR"/>
              </w:rPr>
            </w:pPr>
            <w:r w:rsidRPr="000E237A">
              <w:rPr>
                <w:rFonts w:eastAsia="Cambria" w:cs="Arial"/>
                <w:color w:val="000000" w:themeColor="dark1"/>
                <w:sz w:val="20"/>
                <w:szCs w:val="20"/>
                <w:lang w:val="es-CR" w:eastAsia="es-CR"/>
              </w:rPr>
              <w:t>Transaccionalidad</w:t>
            </w:r>
            <w:r>
              <w:rPr>
                <w:rFonts w:eastAsia="Cambria" w:cs="Arial"/>
                <w:color w:val="000000" w:themeColor="dark1"/>
                <w:sz w:val="20"/>
                <w:szCs w:val="20"/>
                <w:lang w:val="es-CR" w:eastAsia="es-CR"/>
              </w:rPr>
              <w:t xml:space="preserve"> mensual</w:t>
            </w:r>
          </w:p>
        </w:tc>
      </w:tr>
      <w:tr w:rsidRPr="000E237A" w:rsidR="00684B8C" w:rsidTr="004C2E1A" w14:paraId="642C0355" w14:textId="77777777">
        <w:trPr>
          <w:trHeight w:val="684"/>
          <w:jc w:val="center"/>
        </w:trPr>
        <w:tc>
          <w:tcPr>
            <w:tcW w:w="1500" w:type="dxa"/>
            <w:tcBorders>
              <w:top w:val="single" w:color="60BAE6" w:sz="6" w:space="0"/>
              <w:left w:val="single" w:color="60BAE6" w:sz="6" w:space="0"/>
              <w:bottom w:val="single" w:color="60BAE6" w:sz="6" w:space="0"/>
              <w:right w:val="single" w:color="60BAE6" w:sz="6" w:space="0"/>
            </w:tcBorders>
            <w:shd w:val="clear" w:color="auto" w:fill="auto"/>
            <w:tcMar>
              <w:top w:w="15" w:type="dxa"/>
              <w:left w:w="15" w:type="dxa"/>
              <w:bottom w:w="0" w:type="dxa"/>
              <w:right w:w="15" w:type="dxa"/>
            </w:tcMar>
            <w:hideMark/>
          </w:tcPr>
          <w:p w:rsidRPr="000E237A" w:rsidR="00684B8C" w:rsidP="004C2E1A" w:rsidRDefault="00684B8C" w14:paraId="751A409D" w14:textId="77777777">
            <w:pPr>
              <w:spacing w:line="240" w:lineRule="auto"/>
              <w:jc w:val="center"/>
              <w:textAlignment w:val="top"/>
              <w:rPr>
                <w:rFonts w:ascii="Arial" w:hAnsi="Arial" w:cs="Arial"/>
                <w:sz w:val="36"/>
                <w:szCs w:val="36"/>
                <w:lang w:val="es-CR" w:eastAsia="es-CR"/>
              </w:rPr>
            </w:pPr>
            <w:r w:rsidRPr="000E237A">
              <w:rPr>
                <w:rFonts w:eastAsia="Cambria" w:cs="Arial"/>
                <w:color w:val="000000" w:themeColor="dark1"/>
                <w:sz w:val="20"/>
                <w:szCs w:val="20"/>
                <w:lang w:val="es-CR" w:eastAsia="es-CR"/>
              </w:rPr>
              <w:t xml:space="preserve">Igual o </w:t>
            </w:r>
            <w:r w:rsidRPr="000E237A">
              <w:rPr>
                <w:rFonts w:eastAsia="Cambria" w:cs="Arial"/>
                <w:color w:val="000000" w:themeColor="dark1"/>
                <w:sz w:val="20"/>
                <w:szCs w:val="20"/>
                <w:lang w:val="es-CR" w:eastAsia="es-CR"/>
              </w:rPr>
              <w:br/>
              <w:t>mayor a $100,001</w:t>
            </w:r>
          </w:p>
        </w:tc>
        <w:tc>
          <w:tcPr>
            <w:tcW w:w="1280" w:type="dxa"/>
            <w:tcBorders>
              <w:top w:val="single" w:color="60BAE6" w:sz="6" w:space="0"/>
              <w:left w:val="single" w:color="60BAE6" w:sz="6" w:space="0"/>
              <w:bottom w:val="single" w:color="60BAE6" w:sz="6" w:space="0"/>
              <w:right w:val="single" w:color="60BAE6" w:sz="6" w:space="0"/>
            </w:tcBorders>
            <w:shd w:val="clear" w:color="auto" w:fill="auto"/>
            <w:tcMar>
              <w:top w:w="15" w:type="dxa"/>
              <w:left w:w="15" w:type="dxa"/>
              <w:bottom w:w="0" w:type="dxa"/>
              <w:right w:w="15" w:type="dxa"/>
            </w:tcMar>
            <w:hideMark/>
          </w:tcPr>
          <w:p w:rsidRPr="000E237A" w:rsidR="00684B8C" w:rsidP="004C2E1A" w:rsidRDefault="00684B8C" w14:paraId="0B2DC91E" w14:textId="77777777">
            <w:pPr>
              <w:spacing w:line="240" w:lineRule="auto"/>
              <w:jc w:val="center"/>
              <w:textAlignment w:val="top"/>
              <w:rPr>
                <w:rFonts w:ascii="Arial" w:hAnsi="Arial" w:cs="Arial"/>
                <w:sz w:val="36"/>
                <w:szCs w:val="36"/>
                <w:lang w:val="es-CR" w:eastAsia="es-CR"/>
              </w:rPr>
            </w:pPr>
            <w:r w:rsidRPr="000E237A">
              <w:rPr>
                <w:rFonts w:eastAsia="Cambria" w:cs="Arial"/>
                <w:color w:val="000000" w:themeColor="dark1"/>
                <w:sz w:val="20"/>
                <w:szCs w:val="20"/>
                <w:lang w:val="pt-BR" w:eastAsia="es-CR"/>
              </w:rPr>
              <w:t xml:space="preserve">De $50,000 </w:t>
            </w:r>
            <w:r w:rsidRPr="000E237A">
              <w:rPr>
                <w:rFonts w:eastAsia="Cambria" w:cs="Arial"/>
                <w:color w:val="000000" w:themeColor="dark1"/>
                <w:sz w:val="20"/>
                <w:szCs w:val="20"/>
                <w:lang w:val="pt-BR" w:eastAsia="es-CR"/>
              </w:rPr>
              <w:br/>
              <w:t>a $100,000</w:t>
            </w:r>
          </w:p>
        </w:tc>
        <w:tc>
          <w:tcPr>
            <w:tcW w:w="1060" w:type="dxa"/>
            <w:tcBorders>
              <w:top w:val="single" w:color="60BAE6" w:sz="6" w:space="0"/>
              <w:left w:val="single" w:color="60BAE6" w:sz="6" w:space="0"/>
              <w:bottom w:val="single" w:color="60BAE6" w:sz="6" w:space="0"/>
              <w:right w:val="single" w:color="60BAE6" w:sz="6" w:space="0"/>
            </w:tcBorders>
            <w:shd w:val="clear" w:color="auto" w:fill="auto"/>
            <w:tcMar>
              <w:top w:w="15" w:type="dxa"/>
              <w:left w:w="15" w:type="dxa"/>
              <w:bottom w:w="0" w:type="dxa"/>
              <w:right w:w="15" w:type="dxa"/>
            </w:tcMar>
            <w:hideMark/>
          </w:tcPr>
          <w:p w:rsidRPr="000E237A" w:rsidR="00684B8C" w:rsidP="004C2E1A" w:rsidRDefault="00684B8C" w14:paraId="768934AC" w14:textId="77777777">
            <w:pPr>
              <w:spacing w:line="240" w:lineRule="auto"/>
              <w:jc w:val="center"/>
              <w:textAlignment w:val="top"/>
              <w:rPr>
                <w:rFonts w:ascii="Arial" w:hAnsi="Arial" w:cs="Arial"/>
                <w:sz w:val="36"/>
                <w:szCs w:val="36"/>
                <w:lang w:val="es-CR" w:eastAsia="es-CR"/>
              </w:rPr>
            </w:pPr>
            <w:r w:rsidRPr="000E237A">
              <w:rPr>
                <w:rFonts w:eastAsia="Cambria" w:cs="Arial"/>
                <w:color w:val="000000" w:themeColor="dark1"/>
                <w:sz w:val="20"/>
                <w:szCs w:val="20"/>
                <w:lang w:val="pt-BR" w:eastAsia="es-CR"/>
              </w:rPr>
              <w:t>De $10,001</w:t>
            </w:r>
            <w:r w:rsidRPr="000E237A">
              <w:rPr>
                <w:rFonts w:eastAsia="Cambria" w:cs="Arial"/>
                <w:color w:val="000000" w:themeColor="dark1"/>
                <w:sz w:val="20"/>
                <w:szCs w:val="20"/>
                <w:lang w:val="pt-BR" w:eastAsia="es-CR"/>
              </w:rPr>
              <w:br/>
              <w:t xml:space="preserve"> a $50,000 </w:t>
            </w:r>
          </w:p>
        </w:tc>
        <w:tc>
          <w:tcPr>
            <w:tcW w:w="1240" w:type="dxa"/>
            <w:tcBorders>
              <w:top w:val="single" w:color="60BAE6" w:sz="6" w:space="0"/>
              <w:left w:val="single" w:color="60BAE6" w:sz="6" w:space="0"/>
              <w:bottom w:val="single" w:color="60BAE6" w:sz="6" w:space="0"/>
              <w:right w:val="single" w:color="60BAE6" w:sz="6" w:space="0"/>
            </w:tcBorders>
            <w:shd w:val="clear" w:color="auto" w:fill="auto"/>
            <w:tcMar>
              <w:top w:w="15" w:type="dxa"/>
              <w:left w:w="15" w:type="dxa"/>
              <w:bottom w:w="0" w:type="dxa"/>
              <w:right w:w="15" w:type="dxa"/>
            </w:tcMar>
            <w:hideMark/>
          </w:tcPr>
          <w:p w:rsidRPr="000E237A" w:rsidR="00684B8C" w:rsidP="004C2E1A" w:rsidRDefault="00684B8C" w14:paraId="08B6B435" w14:textId="77777777">
            <w:pPr>
              <w:spacing w:line="240" w:lineRule="auto"/>
              <w:jc w:val="center"/>
              <w:textAlignment w:val="top"/>
              <w:rPr>
                <w:rFonts w:ascii="Arial" w:hAnsi="Arial" w:cs="Arial"/>
                <w:sz w:val="36"/>
                <w:szCs w:val="36"/>
                <w:lang w:val="es-CR" w:eastAsia="es-CR"/>
              </w:rPr>
            </w:pPr>
            <w:r w:rsidRPr="000E237A">
              <w:rPr>
                <w:rFonts w:eastAsia="Cambria" w:cs="Arial"/>
                <w:color w:val="000000" w:themeColor="dark1"/>
                <w:sz w:val="20"/>
                <w:szCs w:val="20"/>
                <w:lang w:val="pt-BR" w:eastAsia="es-CR"/>
              </w:rPr>
              <w:t xml:space="preserve">De $1,00 a $10,000  </w:t>
            </w:r>
          </w:p>
        </w:tc>
      </w:tr>
    </w:tbl>
    <w:p w:rsidR="004E3569" w:rsidP="009C6573" w:rsidRDefault="004E3569" w14:paraId="33023AC8" w14:textId="4F954960">
      <w:pPr>
        <w:pStyle w:val="Texto"/>
        <w:spacing w:before="0" w:after="0" w:line="240" w:lineRule="auto"/>
        <w:rPr>
          <w:sz w:val="24"/>
        </w:rPr>
      </w:pPr>
    </w:p>
    <w:p w:rsidRPr="00BD708D" w:rsidR="009C6573" w:rsidP="009C6573" w:rsidRDefault="009C6573" w14:paraId="1F91BC7C" w14:textId="1A68F3E8">
      <w:pPr>
        <w:pStyle w:val="Texto"/>
        <w:numPr>
          <w:ilvl w:val="0"/>
          <w:numId w:val="6"/>
        </w:numPr>
        <w:spacing w:before="0" w:after="0" w:line="240" w:lineRule="auto"/>
        <w:rPr>
          <w:b/>
          <w:bCs/>
          <w:sz w:val="24"/>
        </w:rPr>
      </w:pPr>
      <w:r w:rsidRPr="00BD708D">
        <w:rPr>
          <w:b/>
          <w:bCs/>
          <w:sz w:val="24"/>
        </w:rPr>
        <w:t>La información de los clientes debe estar actualizada</w:t>
      </w:r>
      <w:r w:rsidR="00BD708D">
        <w:rPr>
          <w:b/>
          <w:bCs/>
          <w:sz w:val="24"/>
        </w:rPr>
        <w:t xml:space="preserve">, </w:t>
      </w:r>
      <w:r w:rsidRPr="00BD708D">
        <w:rPr>
          <w:b/>
          <w:bCs/>
          <w:sz w:val="24"/>
        </w:rPr>
        <w:t>no más de tres meses de antigüedad</w:t>
      </w:r>
      <w:r w:rsidR="00BD708D">
        <w:rPr>
          <w:b/>
          <w:bCs/>
          <w:sz w:val="24"/>
        </w:rPr>
        <w:t xml:space="preserve"> a la fecha de su inclusión en el CICAC.</w:t>
      </w:r>
    </w:p>
    <w:p w:rsidR="00DA48F5" w:rsidP="00DA48F5" w:rsidRDefault="00DA48F5" w14:paraId="2D2CC862" w14:textId="77777777">
      <w:pPr>
        <w:pStyle w:val="Texto"/>
        <w:spacing w:before="0" w:after="0" w:line="240" w:lineRule="auto"/>
        <w:rPr>
          <w:sz w:val="24"/>
        </w:rPr>
      </w:pPr>
    </w:p>
    <w:p w:rsidRPr="00A17385" w:rsidR="004E3569" w:rsidP="004E3569" w:rsidRDefault="00785655" w14:paraId="071DB044" w14:textId="77548CB5">
      <w:pPr>
        <w:pStyle w:val="Texto"/>
        <w:numPr>
          <w:ilvl w:val="0"/>
          <w:numId w:val="4"/>
        </w:numPr>
        <w:spacing w:before="0" w:after="0" w:line="240" w:lineRule="auto"/>
        <w:rPr>
          <w:sz w:val="24"/>
        </w:rPr>
      </w:pPr>
      <w:r w:rsidRPr="00A17385">
        <w:rPr>
          <w:sz w:val="24"/>
        </w:rPr>
        <w:t>El sujeto obligado debe designar una persona que funcione como enlace entre la entidad y la Superintendencia, que sea quien se encargue de canalizar las consultas escritas o telefónicas</w:t>
      </w:r>
      <w:r w:rsidRPr="00A17385" w:rsidR="004E3569">
        <w:rPr>
          <w:sz w:val="24"/>
        </w:rPr>
        <w:t xml:space="preserve"> y retroalimentar a los participantes por parte de su entidad en el plan piloto. </w:t>
      </w:r>
    </w:p>
    <w:p w:rsidRPr="00A17385" w:rsidR="00BF1482" w:rsidP="00BF1482" w:rsidRDefault="00BF1482" w14:paraId="01A6EFE6" w14:textId="7C4DECA5">
      <w:pPr>
        <w:pStyle w:val="Texto"/>
        <w:spacing w:before="0" w:after="0" w:line="240" w:lineRule="auto"/>
        <w:rPr>
          <w:sz w:val="24"/>
        </w:rPr>
      </w:pPr>
    </w:p>
    <w:p w:rsidRPr="00A17385" w:rsidR="00BF1482" w:rsidP="00BF1482" w:rsidRDefault="00BF1482" w14:paraId="2C32845A" w14:textId="77777777">
      <w:pPr>
        <w:pStyle w:val="Texto"/>
        <w:spacing w:before="0" w:after="0" w:line="240" w:lineRule="auto"/>
        <w:ind w:left="708"/>
        <w:rPr>
          <w:sz w:val="24"/>
        </w:rPr>
      </w:pPr>
      <w:r w:rsidRPr="00A17385">
        <w:rPr>
          <w:sz w:val="24"/>
        </w:rPr>
        <w:t xml:space="preserve">El sujeto obligado, por medio del Oficial de Cumplimiento, debe remitir la información de la persona designada como enlace (nombre, número de cédula, puesto y correo electrónico) al correo </w:t>
      </w:r>
      <w:hyperlink w:history="1" r:id="rId12">
        <w:r w:rsidRPr="00A17385">
          <w:rPr>
            <w:rStyle w:val="Hipervnculo"/>
            <w:sz w:val="24"/>
          </w:rPr>
          <w:t>cicac@sugef.fi.cr</w:t>
        </w:r>
      </w:hyperlink>
      <w:r w:rsidRPr="00A17385">
        <w:rPr>
          <w:sz w:val="24"/>
        </w:rPr>
        <w:t>, a más tardar el 31 de agosto de 2021.</w:t>
      </w:r>
    </w:p>
    <w:p w:rsidRPr="00A17385" w:rsidR="00BF1482" w:rsidP="00BF1482" w:rsidRDefault="00BF1482" w14:paraId="547C6895" w14:textId="77777777">
      <w:pPr>
        <w:pStyle w:val="Texto"/>
        <w:spacing w:before="0" w:after="0" w:line="240" w:lineRule="auto"/>
        <w:rPr>
          <w:sz w:val="24"/>
        </w:rPr>
      </w:pPr>
    </w:p>
    <w:p w:rsidRPr="00A17385" w:rsidR="00785655" w:rsidP="004E3569" w:rsidRDefault="004E3569" w14:paraId="599E73F5" w14:textId="17929686">
      <w:pPr>
        <w:pStyle w:val="Texto"/>
        <w:spacing w:before="0" w:after="0" w:line="240" w:lineRule="auto"/>
        <w:ind w:left="720"/>
        <w:rPr>
          <w:sz w:val="24"/>
        </w:rPr>
      </w:pPr>
      <w:r w:rsidRPr="00A17385">
        <w:rPr>
          <w:sz w:val="24"/>
        </w:rPr>
        <w:t>Por efectos de orden sólo se atenderán consultas por parte de la persona de enlace.</w:t>
      </w:r>
      <w:r w:rsidRPr="00A17385" w:rsidR="00785655">
        <w:rPr>
          <w:sz w:val="24"/>
        </w:rPr>
        <w:t xml:space="preserve"> </w:t>
      </w:r>
      <w:r w:rsidRPr="00A17385">
        <w:rPr>
          <w:sz w:val="24"/>
        </w:rPr>
        <w:t>P</w:t>
      </w:r>
      <w:r w:rsidRPr="00A17385" w:rsidR="00785655">
        <w:rPr>
          <w:sz w:val="24"/>
        </w:rPr>
        <w:t xml:space="preserve">ara las consultas escritas se debe completar el formulario </w:t>
      </w:r>
      <w:r w:rsidRPr="00A17385" w:rsidR="005551B3">
        <w:rPr>
          <w:sz w:val="24"/>
        </w:rPr>
        <w:t xml:space="preserve">que proporcionará la </w:t>
      </w:r>
      <w:r w:rsidRPr="00A17385" w:rsidR="00785655">
        <w:rPr>
          <w:sz w:val="24"/>
        </w:rPr>
        <w:t>S</w:t>
      </w:r>
      <w:r w:rsidRPr="00A17385" w:rsidR="005551B3">
        <w:rPr>
          <w:sz w:val="24"/>
        </w:rPr>
        <w:t xml:space="preserve">UGEF </w:t>
      </w:r>
      <w:r w:rsidRPr="00A17385" w:rsidR="00785655">
        <w:rPr>
          <w:sz w:val="24"/>
        </w:rPr>
        <w:t xml:space="preserve">y enviarlo al correo </w:t>
      </w:r>
      <w:hyperlink w:history="1" r:id="rId13">
        <w:r w:rsidRPr="00A17385" w:rsidR="00785655">
          <w:rPr>
            <w:rStyle w:val="Hipervnculo"/>
            <w:sz w:val="24"/>
          </w:rPr>
          <w:t>cicac@sugef.fi.cr</w:t>
        </w:r>
      </w:hyperlink>
      <w:r w:rsidRPr="00A17385" w:rsidR="00785655">
        <w:rPr>
          <w:sz w:val="24"/>
        </w:rPr>
        <w:t xml:space="preserve">. </w:t>
      </w:r>
      <w:r w:rsidRPr="00A17385" w:rsidR="005551B3">
        <w:rPr>
          <w:sz w:val="24"/>
        </w:rPr>
        <w:t>Este formulario será enviado al correo electrónico de la persona de enlace.</w:t>
      </w:r>
    </w:p>
    <w:p w:rsidRPr="00A17385" w:rsidR="00785655" w:rsidP="004E3569" w:rsidRDefault="00785655" w14:paraId="2ED35FF0" w14:textId="77777777">
      <w:pPr>
        <w:pStyle w:val="Texto"/>
        <w:spacing w:before="0" w:after="0" w:line="240" w:lineRule="auto"/>
        <w:ind w:left="1068"/>
        <w:rPr>
          <w:sz w:val="24"/>
        </w:rPr>
      </w:pPr>
    </w:p>
    <w:p w:rsidRPr="008B7BE3" w:rsidR="004E3569" w:rsidP="004E3569" w:rsidRDefault="004E3569" w14:paraId="106D5821" w14:textId="0994D400">
      <w:pPr>
        <w:spacing w:line="240" w:lineRule="auto"/>
        <w:ind w:left="348" w:firstLine="360"/>
        <w:rPr>
          <w:sz w:val="24"/>
          <w:lang w:val="es-CR" w:eastAsia="es-ES"/>
        </w:rPr>
      </w:pPr>
      <w:r w:rsidRPr="00A17385">
        <w:rPr>
          <w:sz w:val="24"/>
          <w:lang w:val="es-CR" w:eastAsia="es-ES"/>
        </w:rPr>
        <w:t>Las consultas telefónicas se deben hacer únicamente a las siguientes personas:</w:t>
      </w:r>
    </w:p>
    <w:p w:rsidRPr="008B7BE3" w:rsidR="00ED7BCA" w:rsidP="004E3569" w:rsidRDefault="00ED7BCA" w14:paraId="3DBB2BDF" w14:textId="77777777">
      <w:pPr>
        <w:spacing w:line="240" w:lineRule="auto"/>
        <w:ind w:left="284"/>
        <w:rPr>
          <w:sz w:val="24"/>
          <w:lang w:val="es-CR" w:eastAsia="es-ES"/>
        </w:rPr>
      </w:pPr>
    </w:p>
    <w:tbl>
      <w:tblPr>
        <w:tblW w:w="5093" w:type="dxa"/>
        <w:jc w:val="center"/>
        <w:tblLayout w:type="fixed"/>
        <w:tblCellMar>
          <w:left w:w="70" w:type="dxa"/>
          <w:right w:w="70" w:type="dxa"/>
        </w:tblCellMar>
        <w:tblLook w:val="04A0" w:firstRow="1" w:lastRow="0" w:firstColumn="1" w:lastColumn="0" w:noHBand="0" w:noVBand="1"/>
      </w:tblPr>
      <w:tblGrid>
        <w:gridCol w:w="3109"/>
        <w:gridCol w:w="1984"/>
      </w:tblGrid>
      <w:tr w:rsidRPr="008B7BE3" w:rsidR="004E3569" w:rsidTr="004E3569" w14:paraId="3EBD693E" w14:textId="77777777">
        <w:trPr>
          <w:trHeight w:val="206"/>
          <w:jc w:val="center"/>
        </w:trPr>
        <w:tc>
          <w:tcPr>
            <w:tcW w:w="3109"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B7BE3" w:rsidR="004E3569" w:rsidP="004C2E1A" w:rsidRDefault="004E3569" w14:paraId="1A08AE6A" w14:textId="77777777">
            <w:pPr>
              <w:spacing w:line="240" w:lineRule="auto"/>
              <w:jc w:val="center"/>
              <w:rPr>
                <w:b/>
                <w:bCs/>
                <w:color w:val="000000"/>
                <w:sz w:val="24"/>
                <w:lang w:val="es-CR" w:eastAsia="es-CR"/>
              </w:rPr>
            </w:pPr>
            <w:r w:rsidRPr="008B7BE3">
              <w:rPr>
                <w:b/>
                <w:bCs/>
                <w:color w:val="000000"/>
                <w:sz w:val="24"/>
                <w:lang w:val="es-CR" w:eastAsia="es-CR"/>
              </w:rPr>
              <w:t>Nombre del Contacto</w:t>
            </w:r>
          </w:p>
        </w:tc>
        <w:tc>
          <w:tcPr>
            <w:tcW w:w="1984" w:type="dxa"/>
            <w:tcBorders>
              <w:top w:val="single" w:color="auto" w:sz="8" w:space="0"/>
              <w:left w:val="nil"/>
              <w:bottom w:val="single" w:color="auto" w:sz="8" w:space="0"/>
              <w:right w:val="single" w:color="auto" w:sz="8" w:space="0"/>
            </w:tcBorders>
            <w:shd w:val="clear" w:color="auto" w:fill="auto"/>
            <w:vAlign w:val="center"/>
            <w:hideMark/>
          </w:tcPr>
          <w:p w:rsidRPr="008B7BE3" w:rsidR="004E3569" w:rsidP="004C2E1A" w:rsidRDefault="004E3569" w14:paraId="5A17DCC4" w14:textId="77777777">
            <w:pPr>
              <w:spacing w:line="240" w:lineRule="auto"/>
              <w:jc w:val="center"/>
              <w:rPr>
                <w:b/>
                <w:bCs/>
                <w:color w:val="000000"/>
                <w:sz w:val="24"/>
                <w:lang w:val="es-CR" w:eastAsia="es-CR"/>
              </w:rPr>
            </w:pPr>
            <w:r w:rsidRPr="008B7BE3">
              <w:rPr>
                <w:b/>
                <w:bCs/>
                <w:color w:val="000000"/>
                <w:sz w:val="24"/>
                <w:lang w:val="es-CR" w:eastAsia="es-CR"/>
              </w:rPr>
              <w:t>Teléfono</w:t>
            </w:r>
          </w:p>
        </w:tc>
      </w:tr>
      <w:tr w:rsidRPr="008B7BE3" w:rsidR="004E3569" w:rsidTr="004E3569" w14:paraId="49F6D674" w14:textId="77777777">
        <w:trPr>
          <w:trHeight w:val="336"/>
          <w:jc w:val="center"/>
        </w:trPr>
        <w:tc>
          <w:tcPr>
            <w:tcW w:w="3109" w:type="dxa"/>
            <w:tcBorders>
              <w:top w:val="nil"/>
              <w:left w:val="single" w:color="auto" w:sz="8" w:space="0"/>
              <w:bottom w:val="single" w:color="auto" w:sz="8" w:space="0"/>
              <w:right w:val="single" w:color="auto" w:sz="8" w:space="0"/>
            </w:tcBorders>
            <w:shd w:val="clear" w:color="auto" w:fill="auto"/>
            <w:vAlign w:val="center"/>
          </w:tcPr>
          <w:p w:rsidRPr="008B7BE3" w:rsidR="004E3569" w:rsidP="004C2E1A" w:rsidRDefault="004E3569" w14:paraId="037B44F2" w14:textId="77777777">
            <w:pPr>
              <w:spacing w:line="240" w:lineRule="auto"/>
              <w:rPr>
                <w:color w:val="000000"/>
                <w:sz w:val="24"/>
                <w:lang w:val="es-CR" w:eastAsia="es-CR"/>
              </w:rPr>
            </w:pPr>
            <w:r w:rsidRPr="008B7BE3">
              <w:rPr>
                <w:color w:val="000000"/>
                <w:sz w:val="24"/>
                <w:lang w:val="es-CR" w:eastAsia="es-CR"/>
              </w:rPr>
              <w:t>Jackeline Morales Miranda</w:t>
            </w:r>
          </w:p>
        </w:tc>
        <w:tc>
          <w:tcPr>
            <w:tcW w:w="1984" w:type="dxa"/>
            <w:tcBorders>
              <w:top w:val="nil"/>
              <w:left w:val="nil"/>
              <w:bottom w:val="single" w:color="auto" w:sz="8" w:space="0"/>
              <w:right w:val="single" w:color="auto" w:sz="8" w:space="0"/>
            </w:tcBorders>
            <w:shd w:val="clear" w:color="auto" w:fill="auto"/>
            <w:vAlign w:val="center"/>
          </w:tcPr>
          <w:p w:rsidRPr="008B7BE3" w:rsidR="004E3569" w:rsidP="004C2E1A" w:rsidRDefault="004E3569" w14:paraId="2B10AE17" w14:textId="77777777">
            <w:pPr>
              <w:spacing w:line="240" w:lineRule="auto"/>
              <w:jc w:val="center"/>
              <w:rPr>
                <w:bCs/>
                <w:color w:val="000000"/>
                <w:sz w:val="24"/>
                <w:lang w:val="es-CR" w:eastAsia="es-CR"/>
              </w:rPr>
            </w:pPr>
            <w:r w:rsidRPr="008B7BE3">
              <w:rPr>
                <w:bCs/>
                <w:color w:val="000000"/>
                <w:sz w:val="24"/>
                <w:lang w:val="es-CR" w:eastAsia="es-CR"/>
              </w:rPr>
              <w:t>2243-4763</w:t>
            </w:r>
          </w:p>
        </w:tc>
      </w:tr>
      <w:tr w:rsidRPr="008B7BE3" w:rsidR="004E3569" w:rsidTr="004E3569" w14:paraId="75940AB8" w14:textId="77777777">
        <w:trPr>
          <w:trHeight w:val="336"/>
          <w:jc w:val="center"/>
        </w:trPr>
        <w:tc>
          <w:tcPr>
            <w:tcW w:w="3109" w:type="dxa"/>
            <w:tcBorders>
              <w:top w:val="nil"/>
              <w:left w:val="single" w:color="auto" w:sz="8" w:space="0"/>
              <w:bottom w:val="single" w:color="auto" w:sz="8" w:space="0"/>
              <w:right w:val="single" w:color="auto" w:sz="8" w:space="0"/>
            </w:tcBorders>
            <w:shd w:val="clear" w:color="auto" w:fill="auto"/>
            <w:vAlign w:val="center"/>
          </w:tcPr>
          <w:p w:rsidRPr="008B7BE3" w:rsidR="004E3569" w:rsidP="004C2E1A" w:rsidRDefault="004E3569" w14:paraId="1D8DFBDB" w14:textId="77777777">
            <w:pPr>
              <w:spacing w:line="240" w:lineRule="auto"/>
              <w:rPr>
                <w:color w:val="000000"/>
                <w:sz w:val="24"/>
                <w:lang w:val="es-CR" w:eastAsia="es-CR"/>
              </w:rPr>
            </w:pPr>
            <w:r w:rsidRPr="008B7BE3">
              <w:rPr>
                <w:color w:val="000000"/>
                <w:sz w:val="24"/>
                <w:lang w:val="es-CR" w:eastAsia="es-CR"/>
              </w:rPr>
              <w:t>Andrea Segura Solís</w:t>
            </w:r>
          </w:p>
        </w:tc>
        <w:tc>
          <w:tcPr>
            <w:tcW w:w="1984" w:type="dxa"/>
            <w:tcBorders>
              <w:top w:val="nil"/>
              <w:left w:val="nil"/>
              <w:bottom w:val="single" w:color="auto" w:sz="8" w:space="0"/>
              <w:right w:val="single" w:color="auto" w:sz="8" w:space="0"/>
            </w:tcBorders>
            <w:shd w:val="clear" w:color="auto" w:fill="auto"/>
            <w:vAlign w:val="center"/>
          </w:tcPr>
          <w:p w:rsidRPr="008B7BE3" w:rsidR="004E3569" w:rsidP="004C2E1A" w:rsidRDefault="004E3569" w14:paraId="6B03C09F" w14:textId="77777777">
            <w:pPr>
              <w:spacing w:line="240" w:lineRule="auto"/>
              <w:jc w:val="center"/>
              <w:rPr>
                <w:bCs/>
                <w:color w:val="000000"/>
                <w:sz w:val="24"/>
                <w:lang w:val="es-CR" w:eastAsia="es-CR"/>
              </w:rPr>
            </w:pPr>
            <w:r w:rsidRPr="008B7BE3">
              <w:rPr>
                <w:bCs/>
                <w:color w:val="000000"/>
                <w:sz w:val="24"/>
                <w:lang w:val="es-CR" w:eastAsia="es-CR"/>
              </w:rPr>
              <w:t>2243-4780</w:t>
            </w:r>
          </w:p>
        </w:tc>
      </w:tr>
    </w:tbl>
    <w:p w:rsidR="004E3569" w:rsidP="004E3569" w:rsidRDefault="004E3569" w14:paraId="0C400E32" w14:textId="284BE802">
      <w:pPr>
        <w:pStyle w:val="Texto"/>
        <w:spacing w:before="0" w:after="0" w:line="240" w:lineRule="auto"/>
        <w:ind w:left="720"/>
        <w:rPr>
          <w:sz w:val="24"/>
        </w:rPr>
      </w:pPr>
    </w:p>
    <w:p w:rsidR="00861FC7" w:rsidP="004E3569" w:rsidRDefault="00861FC7" w14:paraId="031065CE" w14:textId="77777777">
      <w:pPr>
        <w:pStyle w:val="Texto"/>
        <w:spacing w:before="0" w:after="0" w:line="240" w:lineRule="auto"/>
        <w:ind w:left="720"/>
        <w:rPr>
          <w:sz w:val="24"/>
        </w:rPr>
      </w:pPr>
    </w:p>
    <w:p w:rsidRPr="00A17385" w:rsidR="004E3569" w:rsidP="00ED7BCA" w:rsidRDefault="004E3569" w14:paraId="3BB0A980" w14:textId="46FFA19B">
      <w:pPr>
        <w:pStyle w:val="Texto"/>
        <w:numPr>
          <w:ilvl w:val="0"/>
          <w:numId w:val="4"/>
        </w:numPr>
        <w:spacing w:before="0" w:after="0" w:line="240" w:lineRule="auto"/>
        <w:rPr>
          <w:sz w:val="24"/>
        </w:rPr>
      </w:pPr>
      <w:r w:rsidRPr="00A17385">
        <w:rPr>
          <w:sz w:val="24"/>
        </w:rPr>
        <w:t xml:space="preserve">La SUGEF comunicará a las entidades financieras participantes, con antelación al inicio del plan piloto, un boletín informativo que se puede utilizar para informar a sus clientes sobre su selección y participación en el plan piloto. </w:t>
      </w:r>
      <w:r w:rsidRPr="00A17385" w:rsidR="00ED7BCA">
        <w:rPr>
          <w:sz w:val="24"/>
        </w:rPr>
        <w:t>Este boletín será enviado al correo electrónico de la persona de enlace.</w:t>
      </w:r>
    </w:p>
    <w:p w:rsidRPr="00A17385" w:rsidR="004E3569" w:rsidP="008C0D55" w:rsidRDefault="004E3569" w14:paraId="37699DFF" w14:textId="77777777">
      <w:pPr>
        <w:spacing w:line="240" w:lineRule="auto"/>
        <w:rPr>
          <w:sz w:val="24"/>
          <w:lang w:eastAsia="es-ES"/>
        </w:rPr>
      </w:pPr>
    </w:p>
    <w:p w:rsidRPr="00A17385" w:rsidR="00ED7BCA" w:rsidP="00ED7BCA" w:rsidRDefault="00ED7BCA" w14:paraId="0015A494" w14:textId="3E7131DC">
      <w:pPr>
        <w:pStyle w:val="Texto"/>
        <w:numPr>
          <w:ilvl w:val="0"/>
          <w:numId w:val="4"/>
        </w:numPr>
        <w:spacing w:before="0" w:after="0" w:line="240" w:lineRule="auto"/>
        <w:rPr>
          <w:sz w:val="24"/>
        </w:rPr>
      </w:pPr>
      <w:r w:rsidRPr="00A17385">
        <w:rPr>
          <w:sz w:val="24"/>
        </w:rPr>
        <w:t xml:space="preserve">En un plazo de </w:t>
      </w:r>
      <w:r w:rsidRPr="00861FC7">
        <w:rPr>
          <w:b/>
          <w:bCs/>
          <w:sz w:val="24"/>
        </w:rPr>
        <w:t>10 días hábiles</w:t>
      </w:r>
      <w:r w:rsidRPr="00A17385">
        <w:rPr>
          <w:sz w:val="24"/>
        </w:rPr>
        <w:t xml:space="preserve"> siguientes a la fecha de finalización de cada fase del plan piloto, </w:t>
      </w:r>
      <w:r w:rsidRPr="00A17385" w:rsidR="00482A84">
        <w:rPr>
          <w:sz w:val="24"/>
        </w:rPr>
        <w:t>la persona de enlace</w:t>
      </w:r>
      <w:r w:rsidRPr="00A17385">
        <w:rPr>
          <w:sz w:val="24"/>
        </w:rPr>
        <w:t xml:space="preserve"> debe comunicar a la Superintendencia por medio del correo antes indicado, el nombre y número de identificación de los clientes incluidos en el CICAC</w:t>
      </w:r>
      <w:r w:rsidRPr="00A17385" w:rsidR="00482A84">
        <w:rPr>
          <w:sz w:val="24"/>
        </w:rPr>
        <w:t>, así como las observaciones generales y oportunidades de mejora que se consideren convenientes de implementación.</w:t>
      </w:r>
    </w:p>
    <w:p w:rsidR="008C0D55" w:rsidP="008C0D55" w:rsidRDefault="008C0D55" w14:paraId="2508692D" w14:textId="77777777">
      <w:pPr>
        <w:pStyle w:val="Texto"/>
        <w:spacing w:before="0" w:after="0" w:line="240" w:lineRule="auto"/>
        <w:rPr>
          <w:sz w:val="24"/>
        </w:rPr>
      </w:pPr>
    </w:p>
    <w:p w:rsidR="008C0D55" w:rsidP="008C0D55" w:rsidRDefault="008C0D55" w14:paraId="4EB7AA01" w14:textId="271E317B">
      <w:pPr>
        <w:pStyle w:val="Texto"/>
        <w:spacing w:before="0" w:after="0" w:line="240" w:lineRule="auto"/>
        <w:rPr>
          <w:sz w:val="24"/>
        </w:rPr>
      </w:pPr>
    </w:p>
    <w:p w:rsidR="00861FC7" w:rsidP="008C0D55" w:rsidRDefault="00861FC7" w14:paraId="4C5D0484" w14:textId="77777777">
      <w:pPr>
        <w:pStyle w:val="Texto"/>
        <w:spacing w:before="0" w:after="0" w:line="240" w:lineRule="auto"/>
        <w:rPr>
          <w:sz w:val="24"/>
        </w:rPr>
      </w:pPr>
    </w:p>
    <w:p w:rsidRPr="002E2B0A" w:rsidR="008C0D55" w:rsidP="008C0D55" w:rsidRDefault="008C0D55" w14:paraId="7701CD37" w14:textId="77777777">
      <w:pPr>
        <w:pStyle w:val="Texto"/>
        <w:spacing w:before="0" w:after="0" w:line="240" w:lineRule="auto"/>
        <w:rPr>
          <w:sz w:val="24"/>
        </w:rPr>
      </w:pPr>
      <w:r w:rsidRPr="002E2B0A">
        <w:rPr>
          <w:sz w:val="24"/>
        </w:rPr>
        <w:t>Atentamente,</w:t>
      </w:r>
    </w:p>
    <w:p w:rsidR="008C0D55" w:rsidP="008C0D55" w:rsidRDefault="008C0D55" w14:paraId="1B2AA38E" w14:textId="77777777">
      <w:pPr>
        <w:spacing w:line="240" w:lineRule="auto"/>
        <w:rPr>
          <w:sz w:val="24"/>
        </w:rPr>
      </w:pPr>
      <w:r>
        <w:rPr>
          <w:noProof/>
          <w:lang w:val="es-CR" w:eastAsia="es-CR"/>
        </w:rPr>
        <w:drawing>
          <wp:anchor distT="0" distB="0" distL="114300" distR="114300" simplePos="0" relativeHeight="251659264" behindDoc="1" locked="0" layoutInCell="1" allowOverlap="1" wp14:editId="4521B8BF" wp14:anchorId="680FE71A">
            <wp:simplePos x="0" y="0"/>
            <wp:positionH relativeFrom="column">
              <wp:posOffset>-78105</wp:posOffset>
            </wp:positionH>
            <wp:positionV relativeFrom="paragraph">
              <wp:posOffset>144145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2E2B0A" w:rsidR="008C0D55" w:rsidP="008C0D55" w:rsidRDefault="008C0D55" w14:paraId="4DD139B4" w14:textId="77777777">
      <w:pPr>
        <w:spacing w:line="240" w:lineRule="auto"/>
        <w:rPr>
          <w:sz w:val="24"/>
        </w:rPr>
      </w:pPr>
    </w:p>
    <w:p w:rsidR="008C0D55" w:rsidP="008C0D55" w:rsidRDefault="008C0D55" w14:paraId="6E9F944A" w14:textId="77777777">
      <w:pPr>
        <w:pStyle w:val="Negrita"/>
        <w:spacing w:line="240" w:lineRule="auto"/>
        <w:jc w:val="left"/>
        <w:rPr>
          <w:sz w:val="24"/>
        </w:rPr>
      </w:pPr>
    </w:p>
    <w:p w:rsidR="008C0D55" w:rsidP="008C0D55" w:rsidRDefault="008C0D55" w14:paraId="7B08DC48" w14:textId="77777777">
      <w:pPr>
        <w:pStyle w:val="Negrita"/>
        <w:spacing w:line="240" w:lineRule="auto"/>
        <w:jc w:val="left"/>
        <w:rPr>
          <w:b w:val="0"/>
          <w:sz w:val="24"/>
        </w:rPr>
      </w:pPr>
    </w:p>
    <w:p w:rsidRPr="002733E1" w:rsidR="008C0D55" w:rsidP="008C0D55" w:rsidRDefault="0042742D" w14:paraId="1DF7AAAC" w14:textId="6FFE2C0D">
      <w:pPr>
        <w:pStyle w:val="Negrita"/>
        <w:spacing w:line="240" w:lineRule="auto"/>
        <w:jc w:val="left"/>
        <w:rPr>
          <w:b w:val="0"/>
          <w:sz w:val="24"/>
        </w:rPr>
      </w:pPr>
      <w:r>
        <w:rPr>
          <w:b w:val="0"/>
          <w:sz w:val="24"/>
        </w:rPr>
        <w:t>Rocío Aguilar Montoya</w:t>
      </w:r>
    </w:p>
    <w:p w:rsidR="008C0D55" w:rsidP="008C0D55" w:rsidRDefault="0042742D" w14:paraId="415B4D58" w14:textId="1AA89294">
      <w:pPr>
        <w:pStyle w:val="Negrita"/>
        <w:spacing w:line="240" w:lineRule="auto"/>
        <w:jc w:val="left"/>
        <w:rPr>
          <w:noProof/>
          <w:lang w:val="es-CR" w:eastAsia="es-CR"/>
        </w:rPr>
      </w:pPr>
      <w:r>
        <w:rPr>
          <w:sz w:val="24"/>
        </w:rPr>
        <w:t>Superintendente</w:t>
      </w:r>
      <w:r w:rsidR="008C0D55">
        <w:rPr>
          <w:sz w:val="24"/>
        </w:rPr>
        <w:t xml:space="preserve"> General</w:t>
      </w:r>
      <w:r w:rsidRPr="00A35D0A" w:rsidR="008C0D55">
        <w:rPr>
          <w:sz w:val="24"/>
        </w:rPr>
        <w:t xml:space="preserve"> </w:t>
      </w:r>
      <w:r w:rsidR="008C0D55">
        <w:rPr>
          <w:noProof/>
          <w:lang w:val="es-CR" w:eastAsia="es-CR"/>
        </w:rPr>
        <w:t xml:space="preserve"> </w:t>
      </w:r>
    </w:p>
    <w:p w:rsidR="008C0D55" w:rsidP="008C0D55" w:rsidRDefault="008C0D55" w14:paraId="66B30009" w14:textId="77777777">
      <w:pPr>
        <w:pStyle w:val="Negrita"/>
        <w:spacing w:line="240" w:lineRule="auto"/>
        <w:jc w:val="left"/>
        <w:rPr>
          <w:sz w:val="24"/>
        </w:rPr>
      </w:pPr>
    </w:p>
    <w:p w:rsidR="008C0D55" w:rsidP="008C0D55" w:rsidRDefault="008C0D55" w14:paraId="7C1535A7" w14:textId="45ED35FD">
      <w:pPr>
        <w:rPr>
          <w:lang w:val="es-CR"/>
        </w:rPr>
      </w:pPr>
    </w:p>
    <w:p w:rsidRPr="008C0D55" w:rsidR="00B0619B" w:rsidP="008C0D55" w:rsidRDefault="00B0619B" w14:paraId="383D0281" w14:textId="77777777">
      <w:pPr>
        <w:rPr>
          <w:lang w:val="es-CR"/>
        </w:rPr>
      </w:pPr>
    </w:p>
    <w:p w:rsidRPr="008C0D55" w:rsidR="008C0D55" w:rsidP="008C0D55" w:rsidRDefault="008C0D55" w14:paraId="54B84672" w14:textId="77777777">
      <w:pPr>
        <w:pStyle w:val="CC"/>
        <w:spacing w:line="240" w:lineRule="auto"/>
        <w:rPr>
          <w:i/>
          <w:iCs/>
          <w:sz w:val="16"/>
          <w:szCs w:val="16"/>
          <w:lang w:val="es-CR"/>
        </w:rPr>
      </w:pPr>
    </w:p>
    <w:p w:rsidRPr="00C57F49" w:rsidR="008C0D55" w:rsidP="008C0D55" w:rsidRDefault="008C0D55" w14:paraId="3C736A24" w14:textId="77777777">
      <w:pPr>
        <w:pStyle w:val="CC"/>
        <w:spacing w:line="240" w:lineRule="auto"/>
        <w:rPr>
          <w:i/>
          <w:iCs/>
          <w:sz w:val="16"/>
          <w:szCs w:val="16"/>
          <w:lang w:val="en-US"/>
        </w:rPr>
      </w:pPr>
      <w:r w:rsidRPr="00C57F49">
        <w:rPr>
          <w:i/>
          <w:iCs/>
          <w:sz w:val="16"/>
          <w:szCs w:val="16"/>
          <w:lang w:val="en-US"/>
        </w:rPr>
        <w:t>RCA/JMM/ASS/</w:t>
      </w:r>
    </w:p>
    <w:p w:rsidRPr="00A80885" w:rsidR="008C0D55" w:rsidP="008C0D55" w:rsidRDefault="008C0D55" w14:paraId="32BBC20B" w14:textId="77777777">
      <w:pPr>
        <w:rPr>
          <w:lang w:val="en-US"/>
        </w:rPr>
      </w:pPr>
    </w:p>
    <w:bookmarkEnd w:id="2"/>
    <w:p w:rsidRPr="00A80885" w:rsidR="00C57F49" w:rsidP="008C0D55" w:rsidRDefault="00C57F49" w14:paraId="25AF5504" w14:textId="77777777">
      <w:pPr>
        <w:tabs>
          <w:tab w:val="left" w:pos="2843"/>
        </w:tabs>
        <w:spacing w:line="240" w:lineRule="auto"/>
        <w:rPr>
          <w:lang w:val="en-US"/>
        </w:rPr>
      </w:pPr>
    </w:p>
    <w:bookmarkEnd w:id="1"/>
    <w:sectPr w:rsidRPr="00A80885" w:rsidR="00C57F49">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29BE9" w14:textId="77777777" w:rsidR="00A33DD6" w:rsidRDefault="00A33DD6" w:rsidP="009349F3">
      <w:pPr>
        <w:spacing w:line="240" w:lineRule="auto"/>
      </w:pPr>
      <w:r>
        <w:separator/>
      </w:r>
    </w:p>
  </w:endnote>
  <w:endnote w:type="continuationSeparator" w:id="0">
    <w:p w14:paraId="244C372A" w14:textId="77777777" w:rsidR="00A33DD6" w:rsidRDefault="00A33DD6"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5E79455C"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1C762C59" w14:textId="77777777">
      <w:tc>
        <w:tcPr>
          <w:tcW w:w="2942" w:type="dxa"/>
        </w:tcPr>
        <w:p w:rsidR="00DD0C27" w:rsidP="00DD0C27" w:rsidRDefault="00DD0C27" w14:paraId="180A20EB" w14:textId="77777777">
          <w:pPr>
            <w:pStyle w:val="Piedepgina"/>
            <w:rPr>
              <w:b/>
              <w:color w:val="7F7F7F" w:themeColor="text1" w:themeTint="80"/>
              <w:sz w:val="16"/>
              <w:szCs w:val="16"/>
            </w:rPr>
          </w:pPr>
          <w:r>
            <w:rPr>
              <w:b/>
              <w:color w:val="7F7F7F" w:themeColor="text1" w:themeTint="80"/>
              <w:sz w:val="16"/>
              <w:szCs w:val="16"/>
            </w:rPr>
            <w:t>Teléfono: (506) 2243-4848</w:t>
          </w:r>
        </w:p>
        <w:p w:rsidR="00DD0C27" w:rsidP="00DD0C27" w:rsidRDefault="00DD0C27" w14:paraId="579DA752"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D0C27" w:rsidRDefault="00517D62" w14:paraId="5628C75C" w14:textId="77777777">
          <w:pPr>
            <w:pStyle w:val="Piedepgina"/>
            <w:rPr>
              <w:b/>
              <w:color w:val="7F7F7F" w:themeColor="text1" w:themeTint="80"/>
              <w:sz w:val="16"/>
              <w:szCs w:val="16"/>
            </w:rPr>
          </w:pPr>
        </w:p>
      </w:tc>
      <w:tc>
        <w:tcPr>
          <w:tcW w:w="2943" w:type="dxa"/>
        </w:tcPr>
        <w:p w:rsidRPr="009349F3" w:rsidR="00517D62" w:rsidP="00855792" w:rsidRDefault="00517D62" w14:paraId="7574F4B4"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22DC86E4"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012FA91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237E7">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7C902221"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0882A33F"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48BFB" w14:textId="77777777" w:rsidR="00A33DD6" w:rsidRDefault="00A33DD6" w:rsidP="009349F3">
      <w:pPr>
        <w:spacing w:line="240" w:lineRule="auto"/>
      </w:pPr>
      <w:r>
        <w:separator/>
      </w:r>
    </w:p>
  </w:footnote>
  <w:footnote w:type="continuationSeparator" w:id="0">
    <w:p w14:paraId="777CEA57" w14:textId="77777777" w:rsidR="00A33DD6" w:rsidRDefault="00A33DD6"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1573D694"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2A134AF7" w14:textId="77777777">
    <w:pPr>
      <w:pStyle w:val="Encabezado"/>
    </w:pPr>
    <w:r>
      <w:ptab w:alignment="center" w:relativeTo="margin" w:leader="none"/>
    </w:r>
    <w:r>
      <w:rPr>
        <w:noProof/>
        <w:lang w:val="es-CR" w:eastAsia="es-CR"/>
      </w:rPr>
      <w:drawing>
        <wp:inline distT="0" distB="0" distL="0" distR="0" wp14:anchorId="5855367B" wp14:editId="5817F31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2D55864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FDB2B29"/>
    <w:multiLevelType w:val="hybridMultilevel"/>
    <w:tmpl w:val="04E882FA"/>
    <w:lvl w:ilvl="0" w:tplc="140A0005">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 w15:restartNumberingAfterBreak="0">
    <w:nsid w:val="32FE6E34"/>
    <w:multiLevelType w:val="hybridMultilevel"/>
    <w:tmpl w:val="3B30ED28"/>
    <w:lvl w:ilvl="0" w:tplc="140A000D">
      <w:start w:val="1"/>
      <w:numFmt w:val="bullet"/>
      <w:lvlText w:val=""/>
      <w:lvlJc w:val="left"/>
      <w:pPr>
        <w:ind w:left="720" w:hanging="360"/>
      </w:pPr>
      <w:rPr>
        <w:rFonts w:ascii="Wingdings" w:hAnsi="Wingdings" w:hint="default"/>
      </w:rPr>
    </w:lvl>
    <w:lvl w:ilvl="1" w:tplc="140A0017">
      <w:start w:val="1"/>
      <w:numFmt w:val="lowerLetter"/>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D3B363B"/>
    <w:multiLevelType w:val="hybridMultilevel"/>
    <w:tmpl w:val="4BDC93F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78B17C2B"/>
    <w:multiLevelType w:val="hybridMultilevel"/>
    <w:tmpl w:val="B0DC8E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7A025F82"/>
    <w:multiLevelType w:val="hybridMultilevel"/>
    <w:tmpl w:val="78501F82"/>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A130361"/>
    <w:multiLevelType w:val="hybridMultilevel"/>
    <w:tmpl w:val="9AC4F9B0"/>
    <w:lvl w:ilvl="0" w:tplc="74BCE182">
      <w:start w:val="1"/>
      <w:numFmt w:val="decimal"/>
      <w:lvlText w:val="%1."/>
      <w:lvlJc w:val="left"/>
      <w:pPr>
        <w:ind w:left="360" w:hanging="360"/>
      </w:pPr>
      <w:rPr>
        <w:b w:val="0"/>
        <w:bCs/>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4"/>
  </w:num>
  <w:num w:numId="3">
    <w:abstractNumId w:val="7"/>
  </w:num>
  <w:num w:numId="4">
    <w:abstractNumId w:val="6"/>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D6"/>
    <w:rsid w:val="000E7619"/>
    <w:rsid w:val="00103ABD"/>
    <w:rsid w:val="00104138"/>
    <w:rsid w:val="0011522D"/>
    <w:rsid w:val="001355C5"/>
    <w:rsid w:val="001744EC"/>
    <w:rsid w:val="001D7820"/>
    <w:rsid w:val="001F6478"/>
    <w:rsid w:val="0026784B"/>
    <w:rsid w:val="002679FD"/>
    <w:rsid w:val="002D1289"/>
    <w:rsid w:val="002D6ACD"/>
    <w:rsid w:val="002E552C"/>
    <w:rsid w:val="00322C6D"/>
    <w:rsid w:val="00324C5C"/>
    <w:rsid w:val="0033556F"/>
    <w:rsid w:val="00367F25"/>
    <w:rsid w:val="00380A19"/>
    <w:rsid w:val="003C4A7D"/>
    <w:rsid w:val="003E0A6C"/>
    <w:rsid w:val="004033A6"/>
    <w:rsid w:val="0042742D"/>
    <w:rsid w:val="00447AF4"/>
    <w:rsid w:val="0046175C"/>
    <w:rsid w:val="00481D19"/>
    <w:rsid w:val="00481FE8"/>
    <w:rsid w:val="00482A84"/>
    <w:rsid w:val="004A14D6"/>
    <w:rsid w:val="004D4063"/>
    <w:rsid w:val="004D5AD3"/>
    <w:rsid w:val="004E220C"/>
    <w:rsid w:val="004E3569"/>
    <w:rsid w:val="004F0B8B"/>
    <w:rsid w:val="0051201C"/>
    <w:rsid w:val="00517D62"/>
    <w:rsid w:val="00525B1F"/>
    <w:rsid w:val="00525F55"/>
    <w:rsid w:val="00544D98"/>
    <w:rsid w:val="005550FD"/>
    <w:rsid w:val="005551B3"/>
    <w:rsid w:val="005967DA"/>
    <w:rsid w:val="005F7C14"/>
    <w:rsid w:val="0061120E"/>
    <w:rsid w:val="006414BE"/>
    <w:rsid w:val="0066384E"/>
    <w:rsid w:val="00684B8C"/>
    <w:rsid w:val="006972C9"/>
    <w:rsid w:val="006D0770"/>
    <w:rsid w:val="006D116F"/>
    <w:rsid w:val="006D1E13"/>
    <w:rsid w:val="006E5A97"/>
    <w:rsid w:val="0075045B"/>
    <w:rsid w:val="00771515"/>
    <w:rsid w:val="00785655"/>
    <w:rsid w:val="0080131E"/>
    <w:rsid w:val="008042D8"/>
    <w:rsid w:val="008200B7"/>
    <w:rsid w:val="008323ED"/>
    <w:rsid w:val="00852F96"/>
    <w:rsid w:val="00855792"/>
    <w:rsid w:val="00861FC7"/>
    <w:rsid w:val="00886BDD"/>
    <w:rsid w:val="008B264F"/>
    <w:rsid w:val="008C0D55"/>
    <w:rsid w:val="008D0062"/>
    <w:rsid w:val="008D1D59"/>
    <w:rsid w:val="008E3683"/>
    <w:rsid w:val="008F7E38"/>
    <w:rsid w:val="00900B79"/>
    <w:rsid w:val="00906714"/>
    <w:rsid w:val="0091112D"/>
    <w:rsid w:val="009349F3"/>
    <w:rsid w:val="0093702B"/>
    <w:rsid w:val="009370DA"/>
    <w:rsid w:val="00956E9A"/>
    <w:rsid w:val="00965626"/>
    <w:rsid w:val="009B7834"/>
    <w:rsid w:val="009C6573"/>
    <w:rsid w:val="009E758E"/>
    <w:rsid w:val="00A17385"/>
    <w:rsid w:val="00A33DD6"/>
    <w:rsid w:val="00A46723"/>
    <w:rsid w:val="00A80885"/>
    <w:rsid w:val="00AA0306"/>
    <w:rsid w:val="00AC0154"/>
    <w:rsid w:val="00AC180C"/>
    <w:rsid w:val="00AF06C5"/>
    <w:rsid w:val="00B0619B"/>
    <w:rsid w:val="00B237E7"/>
    <w:rsid w:val="00B621BC"/>
    <w:rsid w:val="00B673FC"/>
    <w:rsid w:val="00BB5E99"/>
    <w:rsid w:val="00BC2A51"/>
    <w:rsid w:val="00BD708D"/>
    <w:rsid w:val="00BF1482"/>
    <w:rsid w:val="00C035EB"/>
    <w:rsid w:val="00C5070F"/>
    <w:rsid w:val="00C57F49"/>
    <w:rsid w:val="00C71F7D"/>
    <w:rsid w:val="00C83A94"/>
    <w:rsid w:val="00C96170"/>
    <w:rsid w:val="00CA0564"/>
    <w:rsid w:val="00CE107C"/>
    <w:rsid w:val="00D0543C"/>
    <w:rsid w:val="00D1091A"/>
    <w:rsid w:val="00DA1E3E"/>
    <w:rsid w:val="00DA48F5"/>
    <w:rsid w:val="00DD0C27"/>
    <w:rsid w:val="00DE2D06"/>
    <w:rsid w:val="00E20ACB"/>
    <w:rsid w:val="00ED7BCA"/>
    <w:rsid w:val="00F0594C"/>
    <w:rsid w:val="00F2218A"/>
    <w:rsid w:val="00F462AF"/>
    <w:rsid w:val="00F80582"/>
    <w:rsid w:val="00FA7AB6"/>
    <w:rsid w:val="00FC4683"/>
    <w:rsid w:val="00FD62E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F8F7B8"/>
  <w15:chartTrackingRefBased/>
  <w15:docId w15:val="{23979527-8369-4518-8B86-5216F864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A33DD6"/>
    <w:pPr>
      <w:ind w:left="720"/>
      <w:contextualSpacing/>
    </w:pPr>
  </w:style>
  <w:style w:type="character" w:customStyle="1" w:styleId="PrrafodelistaCar">
    <w:name w:val="Párrafo de lista Car"/>
    <w:link w:val="Prrafodelista"/>
    <w:uiPriority w:val="34"/>
    <w:locked/>
    <w:rsid w:val="00A33DD6"/>
    <w:rPr>
      <w:rFonts w:ascii="Cambria" w:eastAsia="Times New Roman" w:hAnsi="Cambria" w:cs="Times New Roman"/>
      <w:szCs w:val="24"/>
      <w:lang w:val="es-ES"/>
    </w:rPr>
  </w:style>
  <w:style w:type="character" w:styleId="Refdecomentario">
    <w:name w:val="annotation reference"/>
    <w:basedOn w:val="Fuentedeprrafopredeter"/>
    <w:uiPriority w:val="99"/>
    <w:semiHidden/>
    <w:unhideWhenUsed/>
    <w:rsid w:val="0061120E"/>
    <w:rPr>
      <w:sz w:val="16"/>
      <w:szCs w:val="16"/>
    </w:rPr>
  </w:style>
  <w:style w:type="paragraph" w:styleId="Textocomentario">
    <w:name w:val="annotation text"/>
    <w:basedOn w:val="Normal"/>
    <w:link w:val="TextocomentarioCar"/>
    <w:uiPriority w:val="99"/>
    <w:semiHidden/>
    <w:unhideWhenUsed/>
    <w:rsid w:val="006112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120E"/>
    <w:rPr>
      <w:rFonts w:ascii="Cambria" w:eastAsia="Times New Roman" w:hAnsi="Cambria" w:cs="Times New Roman"/>
      <w:sz w:val="20"/>
      <w:szCs w:val="20"/>
      <w:lang w:val="es-ES"/>
    </w:rPr>
  </w:style>
  <w:style w:type="table" w:styleId="Tablaconcuadrcula1clara-nfasis1">
    <w:name w:val="Grid Table 1 Light Accent 1"/>
    <w:basedOn w:val="Tablanormal"/>
    <w:uiPriority w:val="46"/>
    <w:rsid w:val="009E758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BB5E99"/>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8B264F"/>
    <w:rPr>
      <w:b/>
      <w:bCs/>
    </w:rPr>
  </w:style>
  <w:style w:type="character" w:customStyle="1" w:styleId="AsuntodelcomentarioCar">
    <w:name w:val="Asunto del comentario Car"/>
    <w:basedOn w:val="TextocomentarioCar"/>
    <w:link w:val="Asuntodelcomentario"/>
    <w:uiPriority w:val="99"/>
    <w:semiHidden/>
    <w:rsid w:val="008B264F"/>
    <w:rPr>
      <w:rFonts w:ascii="Cambria" w:eastAsia="Times New Roman" w:hAnsi="Cambria"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icac@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icac@sugef.fi.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3DF0611D3446BAA6C6C986DFBECCCF"/>
        <w:category>
          <w:name w:val="General"/>
          <w:gallery w:val="placeholder"/>
        </w:category>
        <w:types>
          <w:type w:val="bbPlcHdr"/>
        </w:types>
        <w:behaviors>
          <w:behavior w:val="content"/>
        </w:behaviors>
        <w:guid w:val="{BB60CC10-40D9-4161-8ED3-8303E08D8CC8}"/>
      </w:docPartPr>
      <w:docPartBody>
        <w:p w:rsidR="00215CD7" w:rsidRDefault="00215CD7">
          <w:pPr>
            <w:pStyle w:val="393DF0611D3446BAA6C6C986DFBECCCF"/>
          </w:pPr>
          <w:r w:rsidRPr="001E0779">
            <w:rPr>
              <w:rStyle w:val="Textodelmarcadordeposicin"/>
            </w:rPr>
            <w:t>Haga clic aquí para escribir texto.</w:t>
          </w:r>
        </w:p>
      </w:docPartBody>
    </w:docPart>
    <w:docPart>
      <w:docPartPr>
        <w:name w:val="8C10CD0EBD0F409F80FBE35EB0E94651"/>
        <w:category>
          <w:name w:val="General"/>
          <w:gallery w:val="placeholder"/>
        </w:category>
        <w:types>
          <w:type w:val="bbPlcHdr"/>
        </w:types>
        <w:behaviors>
          <w:behavior w:val="content"/>
        </w:behaviors>
        <w:guid w:val="{676936B4-26F2-4DA2-ABB7-BFE6A8AD5A96}"/>
      </w:docPartPr>
      <w:docPartBody>
        <w:p w:rsidR="00215CD7" w:rsidRDefault="00215CD7">
          <w:pPr>
            <w:pStyle w:val="8C10CD0EBD0F409F80FBE35EB0E9465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D7"/>
    <w:rsid w:val="00215CD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93DF0611D3446BAA6C6C986DFBECCCF">
    <w:name w:val="393DF0611D3446BAA6C6C986DFBECCCF"/>
  </w:style>
  <w:style w:type="paragraph" w:customStyle="1" w:styleId="8C10CD0EBD0F409F80FBE35EB0E94651">
    <w:name w:val="8C10CD0EBD0F409F80FBE35EB0E94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mTOtIIP21Qjkb2VHyhXidRoC8uC2Ls99BxbE9YKCSxU=</DigestValue>
    </Reference>
    <Reference Type="http://www.w3.org/2000/09/xmldsig#Object" URI="#idOfficeObject">
      <DigestMethod Algorithm="http://www.w3.org/2001/04/xmlenc#sha256"/>
      <DigestValue>7wlkxx11UBscP2a9aIMaPgKCnjW1lv9ZdYHXDyHPAvA=</DigestValue>
    </Reference>
    <Reference Type="http://uri.etsi.org/01903#SignedProperties" URI="#idSignedProperties">
      <Transforms>
        <Transform Algorithm="http://www.w3.org/TR/2001/REC-xml-c14n-20010315"/>
      </Transforms>
      <DigestMethod Algorithm="http://www.w3.org/2001/04/xmlenc#sha256"/>
      <DigestValue>SLvMuj5UtUY0YSgPW6Fm64rPekVcou30C7FdJr09Um0=</DigestValue>
    </Reference>
  </SignedInfo>
  <SignatureValue>RmRoIF/AsZo1gS2e9vbjwuvfnc/3rz4mqWL720c7bcrAexD5vIFB3v+7dLQLb/ILk9iF+/rGitM7
+UKnZTFr/QVfMZ7wfxCewG7NA7oYEFGwH87h8DARbOUllfr3Vkj/IHNmxd7G0MQ8KN2zGgvQYKl0
ekWrfcF9L/tMJzJfrJSr6iKzK9qP18jKo00b/4EMa1MC9R2tRaos4q/n6jUOs1Ffx+FGSzrC/ZqS
omQbu3GDvPjOGHt9OdmFsEAUq+m6O9ouixp/Dmr3CoRZY2Nd3jex9p1X+/i4H10ip0lerJfFEocH
tNZ/wr//soxbwcdclSHngI4Ji7k/hFjtTgZMkg==</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ove4JPhbepzvI+TFSdliSKxHRppj6reypZsKKHcvriY=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oYyt4E4he+0MxucvSHgXeT2pbqPJT01Ve2mhcLuxB5s=</DigestValue>
      </Reference>
      <Reference URI="/word/endnotes.xml?ContentType=application/vnd.openxmlformats-officedocument.wordprocessingml.endnotes+xml">
        <DigestMethod Algorithm="http://www.w3.org/2001/04/xmlenc#sha256"/>
        <DigestValue>q3oePgCUsDs3Ms17/oQMNb/vCsxbymGnW3MUWrbPoCo=</DigestValue>
      </Reference>
      <Reference URI="/word/fontTable.xml?ContentType=application/vnd.openxmlformats-officedocument.wordprocessingml.fontTable+xml">
        <DigestMethod Algorithm="http://www.w3.org/2001/04/xmlenc#sha256"/>
        <DigestValue>0I3IcQd4LLX8GTTOaG4B6yAB0GSZ8UOU06aj0AAZ76k=</DigestValue>
      </Reference>
      <Reference URI="/word/footer1.xml?ContentType=application/vnd.openxmlformats-officedocument.wordprocessingml.footer+xml">
        <DigestMethod Algorithm="http://www.w3.org/2001/04/xmlenc#sha256"/>
        <DigestValue>SLhIYphttiGTmpfTfGXQnSaywYibAvpFtXerdWJzEq0=</DigestValue>
      </Reference>
      <Reference URI="/word/footer2.xml?ContentType=application/vnd.openxmlformats-officedocument.wordprocessingml.footer+xml">
        <DigestMethod Algorithm="http://www.w3.org/2001/04/xmlenc#sha256"/>
        <DigestValue>rF0roBWmjytymRA4Z4j67LQg1hBG7uyh24U6fyiKqyc=</DigestValue>
      </Reference>
      <Reference URI="/word/footer3.xml?ContentType=application/vnd.openxmlformats-officedocument.wordprocessingml.footer+xml">
        <DigestMethod Algorithm="http://www.w3.org/2001/04/xmlenc#sha256"/>
        <DigestValue>LoyHXtvPbq32bAlx7O805fmw0Q0GuMLxdE3GZ5pXtuE=</DigestValue>
      </Reference>
      <Reference URI="/word/footnotes.xml?ContentType=application/vnd.openxmlformats-officedocument.wordprocessingml.footnotes+xml">
        <DigestMethod Algorithm="http://www.w3.org/2001/04/xmlenc#sha256"/>
        <DigestValue>JoP1QP4AtSENzKIiajFhuKhjJtvKSrYt2SnhF7FvKnw=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IE25vkWVATQISR9rg8nR1v1olfKXh/4Yo8bAOCpS/qg=</DigestValue>
      </Reference>
      <Reference URI="/word/glossary/fontTable.xml?ContentType=application/vnd.openxmlformats-officedocument.wordprocessingml.fontTable+xml">
        <DigestMethod Algorithm="http://www.w3.org/2001/04/xmlenc#sha256"/>
        <DigestValue>0I3IcQd4LLX8GTTOaG4B6yAB0GSZ8UOU06aj0AAZ76k=</DigestValue>
      </Reference>
      <Reference URI="/word/glossary/settings.xml?ContentType=application/vnd.openxmlformats-officedocument.wordprocessingml.settings+xml">
        <DigestMethod Algorithm="http://www.w3.org/2001/04/xmlenc#sha256"/>
        <DigestValue>/4DJHaghnHTfJpf99HVlLAhocCQYA/aKK3MLMkz5cl0=</DigestValue>
      </Reference>
      <Reference URI="/word/glossary/styles.xml?ContentType=application/vnd.openxmlformats-officedocument.wordprocessingml.styles+xml">
        <DigestMethod Algorithm="http://www.w3.org/2001/04/xmlenc#sha256"/>
        <DigestValue>DHP/A1GVtYjI5T+hwl6IDIVuE+9nQZvk0dut2wETbQw=</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XVdgc3vyhs4yFWxpAEe8xkhj4zD8CUO3o6ji9BP9RxQ=</DigestValue>
      </Reference>
      <Reference URI="/word/header2.xml?ContentType=application/vnd.openxmlformats-officedocument.wordprocessingml.header+xml">
        <DigestMethod Algorithm="http://www.w3.org/2001/04/xmlenc#sha256"/>
        <DigestValue>Pay/+qtLGIGCDhztS4sybg4/cVOUCVafq0enc+n/kU8=</DigestValue>
      </Reference>
      <Reference URI="/word/header3.xml?ContentType=application/vnd.openxmlformats-officedocument.wordprocessingml.header+xml">
        <DigestMethod Algorithm="http://www.w3.org/2001/04/xmlenc#sha256"/>
        <DigestValue>pNYyZP9Z+Dvqkhav7ui2ItvWR6OMZh5EPYWbkKamSzo=</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lPEYIrwf2wypvUq9yBqeJZV/ml5xOGS1yafbG4AWd2Y=</DigestValue>
      </Reference>
      <Reference URI="/word/settings.xml?ContentType=application/vnd.openxmlformats-officedocument.wordprocessingml.settings+xml">
        <DigestMethod Algorithm="http://www.w3.org/2001/04/xmlenc#sha256"/>
        <DigestValue>NEc86GNeI5WcB2Gpt4TKTxAuIarlHjek2DiWdAhV+xo=</DigestValue>
      </Reference>
      <Reference URI="/word/styles.xml?ContentType=application/vnd.openxmlformats-officedocument.wordprocessingml.styles+xml">
        <DigestMethod Algorithm="http://www.w3.org/2001/04/xmlenc#sha256"/>
        <DigestValue>RgLqJkTfEOQ83bTXcMestcZgMR6xGrxRawIn7ZXn+XM=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4eE2UUZZMkzOsyQ9cXRPJSQbWiYEkDN7Ub1pyNuwqtQ=</DigestValue>
      </Reference>
    </Manifest>
    <SignatureProperties>
      <SignatureProperty Id="idSignatureTime" Target="#idPackageSignature">
        <mdssi:SignatureTime xmlns:mdssi="http://schemas.openxmlformats.org/package/2006/digital-signature">
          <mdssi:Format>YYYY-MM-DDThh:mm:ssTZD</mdssi:Format>
          <mdssi:Value>2021-08-13T21:33:52Z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2021-08-13T21:33:52Z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3Yh/z7roqipF51p1g7cvh6oTHrvSDY88Vs1HgSJ35pACBAxy7pkYDzIwMjEwODEzMjEzMzU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xMzIxMzM1NFowLwYJKoZIhvcNAQkEMSIEIOXJa6GD/zFWSeoiIbdbmWfK9BQI7nkX8b4dza+Xxh5QMDcGCyqGSIb3DQEJEAIvMSgwJjAkMCIEIDcrk3iY5iZu+N7/iFpVKDYeTZ9u7elabVQcL5d9tumpMA0GCSqGSIb3DQEBAQUABIIBACNePE8x2WYacVY0OuT5V0d+CIBC/kAOYDDUyGbLSPX4L4hkNr2sFHjVJFNKnsOGs53tOkHh9nIMXTeGFwaaQG4xcxQI9AHOwgcKWype1waNqUkPqqUROOU9uD20+rL+8zT9x412jupTvcyFldlsOQfUtbcfHADiJSOZX+OCc5HDcmSryiLma1d6ES7LW2H7WiVZErCGBfPtE5EnxDc6eCPrJklpsqC04vHlk+Dt6FMVEzKX7QyRP44A2Oz0AwdkDlRHxXw3kFRt6nUL/bARGTHB68HQJWJbHNglyL5LKjJWr/+PQGwtDnsSTlrJKLQa0GqZ702sRAmAZGFWjObfxm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8lY/YwEAYJKwYBBAGCNxUBBAMCAQAwCgYDVR0UBAMCASwwHAYJKwYBBAGCNxUEBA8XDTIxMDkwODE5NTMyNFowDQYJKoZIhvcNAQENBQADggIBAJok3IZgpe7CrWaU6RzBBvVNpqqCY6AGjKPuY//0mKL/2uAfVcuwiWXRSjBxd5KH3Etvx7TcVRXRVdngiUt7F5BJ3KOV7vNvXXMrXNTjPt4macF276+LGsh4zZUBir03gy4rGWcIRM0R2A+l2V8AGhZIk/ThMX2xkS3xXyO29nTRKl0RKxGw2dPnoKmnOQGGY6W96bhDwSkTHXPY8Kh4Ri25SC+yjTftDAys1E4jNqGie/ZFF1uU6ugip2XTF3PPGZoE8K2OGRgH5J2SP+BxEYG+jAPBrbQXwMbTk2Kg1869leMI0rWhL1UPJxYRD83nPlrK+AZ6S1oCO3cnbIcPfvTGm2ORAimwnb0zY+K8Z/FKrXMh7ky8Rh+mmkzNyXVFgLYKOUassKaQGAAwQJXjs0759Nf7RW7eQRNKq27NmDQMhXAYd3pMr1657Sjs4o/nMJDQiuvDxqQKDfP1uBPyDb70xRA9CDVTJUpq+HT+sdHUpj+cCviKAr76r2+srKwyXh4Z0zxstlRxl3uOjokUn2NngQCBx9cxBN9kCf40BFXUeZwyej8q5qtVsGevDGqOo7H+BbtJNb/6bOePLduu3d8gjHv7ddSVgl98w47oiUFDhviHGwQUa5ODBOzJnbVcmuuD9WBQkxd/V2smQqKAG/9VVHRgbkUnqqKYVauOl0K6</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RpwFFHDv/kgOqz4Aq1iZB2eMoKo=</xd:ByKey>
                  </xd:ResponderID>
                  <xd:ProducedAt>2021-08-13T21:32:19Z</xd:ProducedAt>
                </xd:OCSPIdentifier>
                <xd:DigestAlgAndValue>
                  <DigestMethod Algorithm="http://www.w3.org/2001/04/xmlenc#sha256"/>
                  <DigestValue>oL8zjbGhiOZlHKrlAbObgvBLe8CXR7x9jIS07BLS2mY=</DigestValue>
                </xd:DigestAlgAndValue>
              </xd:OCSPRef>
            </xd:OCSPRefs>
            <xd:CRLRefs>
              <xd:CRLRef>
                <xd:DigestAlgAndValue>
                  <DigestMethod Algorithm="http://www.w3.org/2001/04/xmlenc#sha256"/>
                  <DigestValue>RAvE76MI/iTYrOHVZ0bRTCyAhvqxopiEr+ONiNZ5LFk=</DigestValue>
                </xd:DigestAlgAndValue>
                <xd:CRLIdentifier>
                  <xd:Issuer>CN=CA POLITICA PERSONA FISICA - COSTA RICA v2, OU=DCFD, O=MICITT, C=CR, SERIALNUMBER=CPJ-2-100-098311</xd:Issuer>
                  <xd:IssueTime>2021-07-08T19:37:22Z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OQoBAKCCBjIwggYuBgkrBgEFBQcwAQEEggYfMIIGGzCBxaIWBBRGnAUUcO/+SA6rPgCrWJkHZ4ygqhgPMjAyMTA4MTMyMTMyMTlaMIGZMIGWMEwwCQYFKw4DAhoFAAQUzgxHzN03kqP+e9oD7BphnZQwSGIEFF8FGEEQ3hUvOunAFqPnoWpS0TrsAhMUAAkdibcwGcw4YG8RAAEACR2JgAAYDzIwMjEwODEzMjExOTU0WqARGA8yMDIxMDgxNTA5Mzk1NFqhIDAeMBwGCSsGAQQBgjcVBAQPFw0yMTA4MTQyMTI5NTRaMA0GCSqGSIb3DQEBCwUAA4IBAQCDcOJpCg6VGZWmYvPUQ0UuVB67tTfbrlZ9hnZmk8Fl2gjBcLPjUkuIK/4k7R2XapzcUpSWkXdygGFda0EKedLjHKpeSRx2xdCfYnJl8ctFzTBZ2NGw9HiXw9mgzYv/yBjWodeunZUFN3Guo+ChwmfNCggjkids2EeOEMifIqHDz+HkSDS8HhQ2gqUKuwG1Euks1aNI9pTJD6rNyitsdx0yGwOu/J3OmWa3cwjXD60Qst6qGZKj8zoCEW1afbRTV18yET3itKL6Ej80ha8HAfIqFAtNXtnkBmHUNE9QOyZ6OhHB0+z+P/4iIVOfkEGP101e69dj/a8A6dkU/TG5aA08oIIEOzCCBDcwggQzMIIDG6ADAgECAhMUAAt2OocQ1fhl+mCtAAEAC3Y6MA0GCSqGSIb3DQEBCwUAMIGZMRkwFwYDVQQFExBDUEotNC0wMDAtMDA0MDE3MQswCQYDVQQGEwJDUjEkMCIGA1UEChMbQkFOQ08gQ0VOVFJBTCBERSBDT1NUQSBSSUNBMSIwIAYDVQQLExlESVZJU0lPTiBTSVNURU1BUyBERSBQQUdPMSUwIwYDVQQDExxDQSBTSU5QRSAtIFBFUlNPTkEgRklTSUNBIHYyMB4XDTIxMDgwMzAzMTMxMloXDTIxMDgxNzAzMTMxMlowGjEYMBYGA1UEAxMPUE9SVkVOSVIuZmRpLmNyMIIBIjANBgkqhkiG9w0BAQEFAAOCAQ8AMIIBCgKCAQEAzuPk+mERH3wt2G10B8XPJ+s4rzGEG3ORc5XZrsrGMqg8VV6tquap0gauI4dB3HwFYAWO4GwnFVWAQjuCvYENuVzvNcPKufoVNzKU5NhHOlYGaE7W9G9g1mcq8fEnhqiurrNtFRtrIUi5sVOxj3H3i52LGW2hbYjsgwsWhdkmd9wkjWSyvCXQpfo36YYyAXSUK/rZiCq0Ba/ijoz4osffkYbgiAkDNzMoQDMG65JmJMFYY7ILyNOJ8ibdFz3BA6kUrXN85dlykcGWqeNZVvb2bUQgYm3WlTF3OoDS0MdXnS8a9gVYxpg1/CiBiq9parU4LoRZ4Au9RzzUlrMr4DiIRwIDAQABo4HxMIHuMD0GCSsGAQQBgjcVBwQwMC4GJisGAQQBgjcVCIXE6luC0eM1lZEbgvmXGIaly2uBf4P2/HeBuPEzAgFkAgEHMBMGA1UdJQQMMAoGCCsGAQUFBwMJMA4GA1UdDwEB/wQEAwIHgDAbBgkrBgEEAYI3FQoEDjAMMAoGCCsGAQUFBwMJMA8GCSsGAQUFBzABBQQCBQAwHwYDVR0jBBgwFoAUXwUYQRDeFS866cAWo+ehalLROuwwHQYDVR0OBBYEFEacBRRw7/5IDqs+AKtYmQdnjKCqMBoGA1UdEQQTMBGCD1BPUlZFTklSLmZkaS5jcjANBgkqhkiG9w0BAQsFAAOCAQEAShZLD0CrTGrDUvgg6HThiGyqaq631etTQLVq1JJN4EhE1AyAzR72jv1CoACa5rbgy0UsM9vYUMFIH2BNGozKQBFeC2R5qgYBX0qhAr5YEU8DmhIhH0EGrIMGfGbLhyS/efOG43pGAyStNk5CtJKhONGjnLebdtTysuWFyxk1AE4CrzYqQjZrpSNpTKO+9kv6O0bKSCRI6SeOQbrT58AVQAgiZ+gr70YlnyPe4cZi26cin6HCRDJW9GzpsjW703LAhxP7EqinnPdLZL227gk+PBE5mNWmrBisyBSOsiC901rEyLCaz/ejNkGyQB/T0ATRjkdDqivRpLfqv5WN33kbJA==</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3MDgxOTM3MjJaFw0yMTA5MDkwNzU3MjJaoF8wXTAfBgNVHSMEGDAWgBRonWk2y4Rue+qTYRn/WDAd1f9cyzAQBgkrBgEEAYI3FQEEAwIBADAKBgNVHRQEAwIBLDAcBgkrBgEEAYI3FQQEDxcNMjEwOTA4MTk0NzIyWjANBgkqhkiG9w0BAQ0FAAOCAgEAWaTiPGo5+BuFmbQfFx+3WJnlX+TzB2SjKXiVmhO9HUGzEK5FgBDk1XkVEhUH6lr5RSX7+k+ozgUI718cZc9/oujR2URnRf0rEVFKOiZJBktdKYtXi9/o762VAXKNsms2Pf0kcYBmCa/2AMLUPlan7oTlyfKw3pJZ45RkEEt68b9U2M5qjPL0EpJkXT/D4128j02NfTTsL6zpPf8yw8RdhaZ+eD1AbvhW4MFWJe2PvuDmxJ8UAehrt00gadt2hTUIUTUtTFrlzGanITczqNJAxvTs2X6YOQQUDZCzeSrfCMufE03aOGKZS1W981p49mXT5gVylwRbETx40qE3Kkgd8iLw4N6TTEdMF38IOLbAmo6J85P6Z6qWCMSgoL0pEvKtKqN12wHeatl9EkffjOF2cOcMbyG74c3nZNtzK44cqsTaRWwbEdKyaRR9mdEyZo5P9tW4p6qebUB1ngwC6q+O4OLh1ktUi2lGDPTDAV2vKZD3PEti2o/MdA2J38TpNhYX68q+Na045vdr7G6tfjcpEsUz1bkGqIqjvi4+0GaqA2CmTUFPyul3h4uT/WwObht9LxPEpYUKqXHmS/D1zNWgltXtvLo9/LWF4rm6FR5D40YRiLlEpU4jxy+JJxDnVY28e2FfT2gXAI10tjpH7P7YWEeQyQ/WtEvATpatEw460LI=</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lokH8RJtS5FwL5aPN6AO4tB7Xde4+L3A2cKkJQbuiukCBAxy7poYDzIwMjEwODEzMjEzMzU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xMzIxMzM1NFowLwYJKoZIhvcNAQkEMSIEIA5kgBdFGM+x+8mgjlbaBOjKCXAmkB4Vi1vemm7b1TEiMDcGCyqGSIb3DQEJEAIvMSgwJjAkMCIEIDcrk3iY5iZu+N7/iFpVKDYeTZ9u7elabVQcL5d9tumpMA0GCSqGSIb3DQEBAQUABIIBABIYdahzTx6xYz9VO+i16sEKrLzHtfE0XzG4jsOh7mdjFyt1iDvZTzC/PHXX7gOSCl+MdxmYtsi+AXWjkf4DC/8LQb4YvCEMz5I73sEOm0dc1tAedsLbhJ2mJQ0grbqPcKAHSt7edgZiTzDhVNRuGgFJA860s1DvvKh4E/S+aVn8DbQ/Lx41Womiy0Qm+5K8PXYws/PvxsLfpbXw+AytUOal5kkWxeeg80LB/V/QdBL/49MRe3AUK9ESPY8pZ//wM5dndMUkLoWsphaKvQl1pL5Ar8z8f2zAtSpT2g+5L7H5P88E05sv536YolKfP13WGDOP/XAfI+2v7bbXufMH+g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56685DE6AACC4429E0B0E88FB315B22" ma:contentTypeVersion="0" ma:contentTypeDescription="Crear nuevo documento." ma:contentTypeScope="" ma:versionID="70aebe4612025b5996d6ebeb3115a309">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E02BC752-7944-45C0-BFAA-151062C7633D}"/>
</file>

<file path=customXml/itemProps2.xml><?xml version="1.0" encoding="utf-8"?>
<ds:datastoreItem xmlns:ds="http://schemas.openxmlformats.org/officeDocument/2006/customXml" ds:itemID="{03F64CD3-6F0D-45F4-8D0C-33A70E3B1455}"/>
</file>

<file path=customXml/itemProps3.xml><?xml version="1.0" encoding="utf-8"?>
<ds:datastoreItem xmlns:ds="http://schemas.openxmlformats.org/officeDocument/2006/customXml" ds:itemID="{3FAB2C39-471D-4519-88AB-63A90D9D8687}"/>
</file>

<file path=customXml/itemProps4.xml><?xml version="1.0" encoding="utf-8"?>
<ds:datastoreItem xmlns:ds="http://schemas.openxmlformats.org/officeDocument/2006/customXml" ds:itemID="{FE7CE2FB-C298-439D-A08F-D0878181F54D}"/>
</file>

<file path=customXml/itemProps5.xml><?xml version="1.0" encoding="utf-8"?>
<ds:datastoreItem xmlns:ds="http://schemas.openxmlformats.org/officeDocument/2006/customXml" ds:itemID="{74341DDE-D533-4038-A213-FD17EB9A6BAE}"/>
</file>

<file path=customXml/itemProps6.xml><?xml version="1.0" encoding="utf-8"?>
<ds:datastoreItem xmlns:ds="http://schemas.openxmlformats.org/officeDocument/2006/customXml" ds:itemID="{9D98BE48-E795-45BA-8958-BD140399C82F}"/>
</file>

<file path=docProps/app.xml><?xml version="1.0" encoding="utf-8"?>
<Properties xmlns="http://schemas.openxmlformats.org/officeDocument/2006/extended-properties" xmlns:vt="http://schemas.openxmlformats.org/officeDocument/2006/docPropsVTypes">
  <Template>plantillas-SGF-ACL-CEF-13-E</Template>
  <TotalTime>806</TotalTime>
  <Pages>7</Pages>
  <Words>1963</Words>
  <Characters>10798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MIRANDA JACKELINE REBECCA</dc:creator>
  <cp:keywords/>
  <dc:description/>
  <cp:lastModifiedBy>COTO ALFARO RAFAEL</cp:lastModifiedBy>
  <cp:revision>82</cp:revision>
  <dcterms:created xsi:type="dcterms:W3CDTF">2021-07-15T13:47:00Z</dcterms:created>
  <dcterms:modified xsi:type="dcterms:W3CDTF">2021-08-12T16:47:00Z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0x010100856685DE6AACC4429E0B0E88FB315B22</vt:lpwstr>
  </property>
  <property fmtid="{D5CDD505-2E9C-101B-9397-08002B2CF9AE}" pid="3" name="Integridad">
    <vt:lpwstr>128;#Alta|0fd17ec2-e5d0-4d9f-8e18-466324d0fdd4</vt:lpwstr>
  </property>
  <property fmtid="{D5CDD505-2E9C-101B-9397-08002B2CF9AE}" pid="4" name="Tipo Documental">
    <vt:lpwstr>183;#Resolución|8250c29f-4595-4728-bcc1-a5fc6a20ed53</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127;#Propietario|172cdb65-abed-4947-8339-a6c2477d21bb</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127;#Propietario|172cdb65-abed-4947-8339-a6c2477d21bb</vt:lpwstr>
  </property>
  <property fmtid="{D5CDD505-2E9C-101B-9397-08002B2CF9AE}" pid="12" name="Order">
    <vt:r8>59900</vt:r8>
  </property>
  <property fmtid="{D5CDD505-2E9C-101B-9397-08002B2CF9AE}" pid="14" name="lb0b7da792b243d9bfa96ad7487ad734">
    <vt:lpwstr>Propietario|172cdb65-abed-4947-8339-a6c2477d21bb</vt:lpwstr>
  </property>
  <property fmtid="{D5CDD505-2E9C-101B-9397-08002B2CF9AE}" pid="15" name="_dlc_policyId">
    <vt:lpwstr>0x010100E97154E09FCE6A4E8EAEBD5C54DD1AE4|-1695030217</vt:lpwstr>
  </property>
  <property fmtid="{D5CDD505-2E9C-101B-9397-08002B2CF9AE}" pid="1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7" name="WorkflowChangePath">
    <vt:lpwstr>58129e4d-2a7c-4442-ab86-f4288b01d5ff,4;7dedacbb-5c77-4a35-8847-40abd1245d4d,6;</vt:lpwstr>
  </property>
</Properties>
</file>