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C3E83B" w14:textId="0A986C97" w:rsidR="003A0D14" w:rsidRDefault="003A0D14" w:rsidP="003A0D14">
      <w:pPr>
        <w:widowControl w:val="0"/>
        <w:jc w:val="both"/>
        <w:rPr>
          <w:sz w:val="24"/>
          <w:szCs w:val="24"/>
          <w:lang w:val="es-CR"/>
        </w:rPr>
      </w:pPr>
    </w:p>
    <w:p w14:paraId="148A9AC0" w14:textId="77777777" w:rsidR="004C00AB" w:rsidRDefault="004C00AB" w:rsidP="003A0D14">
      <w:pPr>
        <w:widowControl w:val="0"/>
        <w:jc w:val="both"/>
        <w:rPr>
          <w:sz w:val="24"/>
          <w:szCs w:val="24"/>
          <w:lang w:val="es-CR"/>
        </w:rPr>
      </w:pPr>
    </w:p>
    <w:p w14:paraId="57B0F11B" w14:textId="77777777" w:rsidR="003A0D14" w:rsidRPr="00263B00" w:rsidRDefault="003A0D14" w:rsidP="003A0D14">
      <w:pPr>
        <w:widowControl w:val="0"/>
        <w:jc w:val="both"/>
        <w:rPr>
          <w:sz w:val="24"/>
          <w:szCs w:val="24"/>
        </w:rPr>
      </w:pPr>
      <w:r w:rsidRPr="00263B00">
        <w:rPr>
          <w:sz w:val="24"/>
          <w:szCs w:val="24"/>
        </w:rPr>
        <w:t>2 de junio del 2022</w:t>
      </w:r>
    </w:p>
    <w:p w14:paraId="3A1E7233" w14:textId="77777777" w:rsidR="003A0D14" w:rsidRPr="00263B00" w:rsidRDefault="003A0D14" w:rsidP="003A0D14">
      <w:pPr>
        <w:ind w:left="567" w:hanging="567"/>
        <w:jc w:val="both"/>
        <w:rPr>
          <w:sz w:val="24"/>
          <w:szCs w:val="24"/>
        </w:rPr>
      </w:pPr>
      <w:r w:rsidRPr="00263B00">
        <w:rPr>
          <w:sz w:val="24"/>
          <w:szCs w:val="24"/>
        </w:rPr>
        <w:t>CNS-1734/09</w:t>
      </w:r>
    </w:p>
    <w:p w14:paraId="3D0FDCC1" w14:textId="77777777" w:rsidR="003A0D14" w:rsidRPr="00263B00" w:rsidRDefault="003A0D14" w:rsidP="003A0D14">
      <w:pPr>
        <w:ind w:left="567" w:hanging="567"/>
        <w:jc w:val="both"/>
        <w:rPr>
          <w:sz w:val="24"/>
          <w:szCs w:val="24"/>
        </w:rPr>
      </w:pPr>
      <w:r w:rsidRPr="00263B00">
        <w:rPr>
          <w:sz w:val="24"/>
          <w:szCs w:val="24"/>
        </w:rPr>
        <w:t>CNS-1735/06</w:t>
      </w:r>
    </w:p>
    <w:p w14:paraId="2494A3DE" w14:textId="0C48BBA2" w:rsidR="003A0D14" w:rsidRPr="00263B00" w:rsidRDefault="003A0D14" w:rsidP="003A0D14">
      <w:pPr>
        <w:jc w:val="both"/>
        <w:rPr>
          <w:b/>
          <w:i/>
          <w:sz w:val="24"/>
          <w:szCs w:val="24"/>
        </w:rPr>
      </w:pPr>
    </w:p>
    <w:p w14:paraId="755F479F" w14:textId="77777777" w:rsidR="003A0D14" w:rsidRPr="00263B00" w:rsidRDefault="003A0D14" w:rsidP="003A0D14">
      <w:pPr>
        <w:jc w:val="both"/>
        <w:rPr>
          <w:b/>
          <w:i/>
          <w:sz w:val="24"/>
          <w:szCs w:val="24"/>
        </w:rPr>
      </w:pPr>
    </w:p>
    <w:p w14:paraId="03C9CA65" w14:textId="77777777" w:rsidR="004C00AB" w:rsidRPr="00823901" w:rsidRDefault="004C00AB" w:rsidP="004C00AB">
      <w:pPr>
        <w:widowControl w:val="0"/>
        <w:jc w:val="both"/>
        <w:rPr>
          <w:sz w:val="24"/>
          <w:szCs w:val="24"/>
        </w:rPr>
      </w:pPr>
      <w:r w:rsidRPr="00823901">
        <w:rPr>
          <w:sz w:val="24"/>
          <w:szCs w:val="24"/>
        </w:rPr>
        <w:t>Señores</w:t>
      </w:r>
    </w:p>
    <w:p w14:paraId="6F663E89" w14:textId="77777777" w:rsidR="004C00AB" w:rsidRPr="00823901" w:rsidRDefault="004C00AB" w:rsidP="004C00AB">
      <w:pPr>
        <w:widowControl w:val="0"/>
        <w:jc w:val="both"/>
        <w:rPr>
          <w:sz w:val="24"/>
          <w:szCs w:val="24"/>
        </w:rPr>
      </w:pPr>
      <w:r w:rsidRPr="00823901">
        <w:rPr>
          <w:sz w:val="24"/>
          <w:szCs w:val="24"/>
        </w:rPr>
        <w:t>María del Rocío Aguilar Montoya, superintendente SUGEF - SUPEN</w:t>
      </w:r>
    </w:p>
    <w:p w14:paraId="4079F04D" w14:textId="77777777" w:rsidR="004C00AB" w:rsidRPr="00823901" w:rsidRDefault="004C00AB" w:rsidP="004C00AB">
      <w:pPr>
        <w:widowControl w:val="0"/>
        <w:jc w:val="both"/>
        <w:rPr>
          <w:sz w:val="24"/>
          <w:szCs w:val="24"/>
        </w:rPr>
      </w:pPr>
      <w:r w:rsidRPr="00823901">
        <w:rPr>
          <w:sz w:val="24"/>
          <w:szCs w:val="24"/>
        </w:rPr>
        <w:t>María Lucía Fernández Garita, superintendente SUGEVAL</w:t>
      </w:r>
    </w:p>
    <w:p w14:paraId="21048E6B" w14:textId="77777777" w:rsidR="004C00AB" w:rsidRPr="00823901" w:rsidRDefault="004C00AB" w:rsidP="004C00AB">
      <w:pPr>
        <w:widowControl w:val="0"/>
        <w:jc w:val="both"/>
        <w:rPr>
          <w:sz w:val="24"/>
          <w:szCs w:val="24"/>
        </w:rPr>
      </w:pPr>
      <w:r w:rsidRPr="00823901">
        <w:rPr>
          <w:sz w:val="24"/>
          <w:szCs w:val="24"/>
        </w:rPr>
        <w:t>Tomás Soley Pérez, superintendente SUGESE</w:t>
      </w:r>
    </w:p>
    <w:p w14:paraId="46D86D8C" w14:textId="77777777" w:rsidR="004C00AB" w:rsidRPr="000B07C0" w:rsidRDefault="004C00AB" w:rsidP="004C00AB">
      <w:pPr>
        <w:widowControl w:val="0"/>
        <w:jc w:val="both"/>
        <w:rPr>
          <w:sz w:val="24"/>
          <w:szCs w:val="24"/>
        </w:rPr>
      </w:pPr>
    </w:p>
    <w:p w14:paraId="77EF630E" w14:textId="77777777" w:rsidR="004C00AB" w:rsidRPr="000B07C0" w:rsidRDefault="004C00AB" w:rsidP="004C00AB">
      <w:pPr>
        <w:widowControl w:val="0"/>
        <w:jc w:val="both"/>
        <w:rPr>
          <w:sz w:val="24"/>
          <w:szCs w:val="24"/>
        </w:rPr>
      </w:pPr>
    </w:p>
    <w:p w14:paraId="35B81010" w14:textId="77777777" w:rsidR="004C00AB" w:rsidRPr="000B07C0" w:rsidRDefault="004C00AB" w:rsidP="004C00AB">
      <w:pPr>
        <w:widowControl w:val="0"/>
        <w:jc w:val="both"/>
        <w:rPr>
          <w:sz w:val="24"/>
          <w:szCs w:val="24"/>
        </w:rPr>
      </w:pPr>
      <w:r w:rsidRPr="000B07C0">
        <w:rPr>
          <w:sz w:val="24"/>
          <w:szCs w:val="24"/>
        </w:rPr>
        <w:t>Estimado</w:t>
      </w:r>
      <w:r>
        <w:rPr>
          <w:sz w:val="24"/>
          <w:szCs w:val="24"/>
        </w:rPr>
        <w:t>s</w:t>
      </w:r>
      <w:r w:rsidRPr="000B07C0">
        <w:rPr>
          <w:sz w:val="24"/>
          <w:szCs w:val="24"/>
        </w:rPr>
        <w:t xml:space="preserve"> señor</w:t>
      </w:r>
      <w:r>
        <w:rPr>
          <w:sz w:val="24"/>
          <w:szCs w:val="24"/>
        </w:rPr>
        <w:t>es</w:t>
      </w:r>
      <w:r w:rsidRPr="000B07C0">
        <w:rPr>
          <w:sz w:val="24"/>
          <w:szCs w:val="24"/>
        </w:rPr>
        <w:t>:</w:t>
      </w:r>
    </w:p>
    <w:p w14:paraId="33B60FCB" w14:textId="77777777" w:rsidR="003A0D14" w:rsidRPr="00263B00" w:rsidRDefault="003A0D14" w:rsidP="003A0D14">
      <w:pPr>
        <w:jc w:val="both"/>
        <w:rPr>
          <w:b/>
          <w:i/>
          <w:sz w:val="24"/>
          <w:szCs w:val="24"/>
        </w:rPr>
      </w:pPr>
    </w:p>
    <w:p w14:paraId="6A88AF97" w14:textId="61353C5B" w:rsidR="003A0D14" w:rsidRPr="00263B00" w:rsidRDefault="003A0D14" w:rsidP="003A0D14">
      <w:pPr>
        <w:widowControl w:val="0"/>
        <w:jc w:val="both"/>
        <w:rPr>
          <w:sz w:val="24"/>
          <w:szCs w:val="24"/>
        </w:rPr>
      </w:pPr>
      <w:r w:rsidRPr="00263B00">
        <w:rPr>
          <w:sz w:val="24"/>
          <w:szCs w:val="24"/>
        </w:rPr>
        <w:t xml:space="preserve">El Consejo Nacional de Supervisión del Sistema Financiero, en </w:t>
      </w:r>
      <w:r w:rsidR="004C00AB">
        <w:rPr>
          <w:sz w:val="24"/>
          <w:szCs w:val="24"/>
        </w:rPr>
        <w:t xml:space="preserve">el literal A de </w:t>
      </w:r>
      <w:r w:rsidRPr="00263B00">
        <w:rPr>
          <w:sz w:val="24"/>
          <w:szCs w:val="24"/>
        </w:rPr>
        <w:t>los artículos 9 y 6 de las actas de las sesiones 1734-2022 y 1735-2022, celebradas el 27 de mayo del 2022,</w:t>
      </w:r>
    </w:p>
    <w:p w14:paraId="18C533B0" w14:textId="786116C7" w:rsidR="003A0D14" w:rsidRPr="004C00AB" w:rsidRDefault="003A0D14" w:rsidP="003A0D14">
      <w:pPr>
        <w:widowControl w:val="0"/>
        <w:jc w:val="both"/>
        <w:rPr>
          <w:sz w:val="22"/>
          <w:szCs w:val="22"/>
        </w:rPr>
      </w:pPr>
    </w:p>
    <w:p w14:paraId="605C95C4" w14:textId="22FA8602" w:rsidR="003A0D14" w:rsidRPr="004C00AB" w:rsidRDefault="003A0D14" w:rsidP="004C00AB">
      <w:pPr>
        <w:widowControl w:val="0"/>
        <w:tabs>
          <w:tab w:val="right" w:pos="8647"/>
          <w:tab w:val="left" w:pos="8789"/>
        </w:tabs>
        <w:ind w:right="-1"/>
        <w:jc w:val="both"/>
        <w:rPr>
          <w:rFonts w:eastAsia="Calibri"/>
          <w:b/>
          <w:bCs/>
          <w:sz w:val="24"/>
          <w:szCs w:val="24"/>
        </w:rPr>
      </w:pPr>
      <w:r w:rsidRPr="004C00AB">
        <w:rPr>
          <w:b/>
          <w:bCs/>
          <w:color w:val="000000"/>
          <w:sz w:val="24"/>
          <w:szCs w:val="24"/>
        </w:rPr>
        <w:t xml:space="preserve">En lo atinente a una serie de </w:t>
      </w:r>
      <w:r w:rsidRPr="004C00AB">
        <w:rPr>
          <w:rFonts w:eastAsia="Calibri"/>
          <w:b/>
          <w:bCs/>
          <w:sz w:val="24"/>
          <w:szCs w:val="24"/>
        </w:rPr>
        <w:t xml:space="preserve">modificaciones a distintos reglamentos, que atienden el artículo 5, numeral 1, de la </w:t>
      </w:r>
      <w:r w:rsidRPr="004C00AB">
        <w:rPr>
          <w:rFonts w:eastAsia="Calibri"/>
          <w:b/>
          <w:bCs/>
          <w:i/>
          <w:iCs/>
          <w:sz w:val="24"/>
          <w:szCs w:val="24"/>
        </w:rPr>
        <w:t>Ley para potenciar el financiamiento y la inversión para el desarrollo sostenible, mediante el uso de valores de oferta pública temáticos</w:t>
      </w:r>
      <w:r w:rsidRPr="004C00AB">
        <w:rPr>
          <w:rFonts w:eastAsia="Calibri"/>
          <w:b/>
          <w:bCs/>
          <w:sz w:val="24"/>
          <w:szCs w:val="24"/>
        </w:rPr>
        <w:t xml:space="preserve">, Ley 10.051. </w:t>
      </w:r>
    </w:p>
    <w:p w14:paraId="5AEA6E32" w14:textId="77777777" w:rsidR="003A0D14" w:rsidRPr="004C00AB" w:rsidRDefault="003A0D14" w:rsidP="003A0D14">
      <w:pPr>
        <w:contextualSpacing/>
        <w:jc w:val="both"/>
        <w:rPr>
          <w:rFonts w:eastAsia="Calibri"/>
          <w:b/>
          <w:bCs/>
        </w:rPr>
      </w:pPr>
    </w:p>
    <w:p w14:paraId="6E9266E0" w14:textId="77777777" w:rsidR="003A0D14" w:rsidRPr="005D198A" w:rsidRDefault="003A0D14" w:rsidP="003A0D14">
      <w:pPr>
        <w:contextualSpacing/>
        <w:jc w:val="both"/>
        <w:rPr>
          <w:rFonts w:eastAsia="Calibri"/>
          <w:b/>
          <w:bCs/>
          <w:sz w:val="24"/>
          <w:szCs w:val="24"/>
        </w:rPr>
      </w:pPr>
      <w:r w:rsidRPr="005D198A">
        <w:rPr>
          <w:rFonts w:eastAsia="Calibri"/>
          <w:b/>
          <w:bCs/>
          <w:sz w:val="24"/>
          <w:szCs w:val="24"/>
        </w:rPr>
        <w:t>considerando que:</w:t>
      </w:r>
    </w:p>
    <w:p w14:paraId="0181A31A" w14:textId="77777777" w:rsidR="003A0D14" w:rsidRPr="005D198A" w:rsidRDefault="003A0D14" w:rsidP="003A0D14">
      <w:pPr>
        <w:contextualSpacing/>
        <w:jc w:val="both"/>
        <w:rPr>
          <w:rFonts w:eastAsia="Calibri"/>
          <w:sz w:val="22"/>
          <w:szCs w:val="22"/>
        </w:rPr>
      </w:pPr>
    </w:p>
    <w:p w14:paraId="655ADC82" w14:textId="77777777" w:rsidR="003A0D14" w:rsidRPr="00263B00" w:rsidRDefault="003A0D14" w:rsidP="003A0D14">
      <w:pPr>
        <w:contextualSpacing/>
        <w:jc w:val="both"/>
        <w:rPr>
          <w:b/>
          <w:bCs/>
          <w:sz w:val="24"/>
          <w:szCs w:val="24"/>
        </w:rPr>
      </w:pPr>
      <w:r w:rsidRPr="00263B00">
        <w:rPr>
          <w:b/>
          <w:bCs/>
          <w:sz w:val="24"/>
          <w:szCs w:val="24"/>
        </w:rPr>
        <w:t>Consideraciones de orden legal y reglamentario</w:t>
      </w:r>
    </w:p>
    <w:p w14:paraId="69CA4CAE" w14:textId="77777777" w:rsidR="003A0D14" w:rsidRPr="00263B00" w:rsidRDefault="003A0D14" w:rsidP="003A0D14">
      <w:pPr>
        <w:contextualSpacing/>
        <w:jc w:val="both"/>
        <w:rPr>
          <w:b/>
          <w:bCs/>
          <w:sz w:val="24"/>
          <w:szCs w:val="24"/>
        </w:rPr>
      </w:pPr>
    </w:p>
    <w:p w14:paraId="10EC9245" w14:textId="77777777" w:rsidR="003A0D14" w:rsidRPr="003A0D14" w:rsidRDefault="003A0D14" w:rsidP="003A0D14">
      <w:pPr>
        <w:widowControl w:val="0"/>
        <w:ind w:left="851" w:hanging="851"/>
        <w:contextualSpacing/>
        <w:jc w:val="both"/>
        <w:rPr>
          <w:rFonts w:eastAsia="Calibri"/>
          <w:sz w:val="24"/>
          <w:szCs w:val="24"/>
        </w:rPr>
      </w:pPr>
      <w:r w:rsidRPr="003A0D14">
        <w:rPr>
          <w:rFonts w:eastAsia="Calibri"/>
          <w:sz w:val="24"/>
          <w:szCs w:val="24"/>
        </w:rPr>
        <w:t>I.</w:t>
      </w:r>
      <w:r w:rsidRPr="003A0D14">
        <w:rPr>
          <w:rFonts w:eastAsia="Calibri"/>
          <w:sz w:val="24"/>
          <w:szCs w:val="24"/>
        </w:rPr>
        <w:tab/>
        <w:t xml:space="preserve">De conformidad con lo estipulado en el literal b) del artículo 171 de la </w:t>
      </w:r>
      <w:r w:rsidRPr="003A0D14">
        <w:rPr>
          <w:rFonts w:eastAsia="Calibri"/>
          <w:i/>
          <w:iCs/>
          <w:sz w:val="24"/>
          <w:szCs w:val="24"/>
        </w:rPr>
        <w:t>Ley Reguladora del Mercado de Valores</w:t>
      </w:r>
      <w:r w:rsidRPr="003A0D14">
        <w:rPr>
          <w:rFonts w:eastAsia="Calibri"/>
          <w:sz w:val="24"/>
          <w:szCs w:val="24"/>
        </w:rPr>
        <w:t>, Ley 7732, se faculta al Consejo Nacional de Supervisión (CONASSIF) a aprobar las normas atinentes a la autorización, regulación, supervisión, fiscalización y vigilancia que, conforme a la Ley, debe ejercer la Superintendencia General de Entidades Financieras (SUGEF), la Superintendencia General de Valores (SUGEVAL) y la Superintendencia de Pensiones (SUPEN) y la Superintendencia General de Seguros (SUGESE), en este último caso de conformidad con lo dispuesto en la Ley Reguladora del Mercado de Seguros, Ley 8653.</w:t>
      </w:r>
    </w:p>
    <w:p w14:paraId="5EB4197C" w14:textId="77777777" w:rsidR="003A0D14" w:rsidRPr="003A0D14" w:rsidRDefault="003A0D14" w:rsidP="003A0D14">
      <w:pPr>
        <w:pStyle w:val="Prrafodelista"/>
        <w:ind w:left="851" w:hanging="851"/>
        <w:contextualSpacing/>
        <w:rPr>
          <w:rFonts w:eastAsia="Calibri"/>
        </w:rPr>
      </w:pPr>
    </w:p>
    <w:p w14:paraId="3E42A1A2" w14:textId="77777777" w:rsidR="003A0D14" w:rsidRPr="003A0D14" w:rsidRDefault="003A0D14" w:rsidP="003A0D14">
      <w:pPr>
        <w:widowControl w:val="0"/>
        <w:ind w:left="851" w:hanging="851"/>
        <w:contextualSpacing/>
        <w:jc w:val="both"/>
        <w:rPr>
          <w:rFonts w:eastAsia="Calibri"/>
          <w:sz w:val="24"/>
          <w:szCs w:val="24"/>
        </w:rPr>
      </w:pPr>
      <w:r w:rsidRPr="003A0D14">
        <w:rPr>
          <w:rFonts w:eastAsia="Calibri"/>
          <w:sz w:val="24"/>
          <w:szCs w:val="24"/>
        </w:rPr>
        <w:t>II.</w:t>
      </w:r>
      <w:r w:rsidRPr="003A0D14">
        <w:rPr>
          <w:rFonts w:eastAsia="Calibri"/>
          <w:sz w:val="24"/>
          <w:szCs w:val="24"/>
        </w:rPr>
        <w:tab/>
        <w:t xml:space="preserve">De acuerdo con artículo 119 de la </w:t>
      </w:r>
      <w:r w:rsidRPr="003A0D14">
        <w:rPr>
          <w:rFonts w:eastAsia="Calibri"/>
          <w:i/>
          <w:iCs/>
          <w:sz w:val="24"/>
          <w:szCs w:val="24"/>
        </w:rPr>
        <w:t>Ley Orgánica del Banco Central de Costa Rica</w:t>
      </w:r>
      <w:r w:rsidRPr="003A0D14">
        <w:rPr>
          <w:rFonts w:eastAsia="Calibri"/>
          <w:sz w:val="24"/>
          <w:szCs w:val="24"/>
        </w:rPr>
        <w:t>, Ley 7558, con el propósito de velar por la estabilidad, la solidez y el eficiente funcionamiento del Sistema Financiero Nacional, le corresponde a la SUGEF ejercer sus actividades de supervisión y fiscalización sobre todas las entidades que llevan a cabo intermediación financiera, con estricto apego a las disposiciones legales y reglamentarias, velando por que cumplan con los preceptos que les sean aplicables.</w:t>
      </w:r>
    </w:p>
    <w:p w14:paraId="1D3F99CC" w14:textId="77777777" w:rsidR="003A0D14" w:rsidRPr="003A0D14" w:rsidRDefault="003A0D14" w:rsidP="003A0D14">
      <w:pPr>
        <w:pStyle w:val="Prrafodelista"/>
        <w:ind w:left="851" w:hanging="851"/>
        <w:contextualSpacing/>
        <w:rPr>
          <w:rFonts w:eastAsia="Calibri"/>
        </w:rPr>
      </w:pPr>
    </w:p>
    <w:p w14:paraId="2BFBE7B3" w14:textId="77777777" w:rsidR="003A0D14" w:rsidRPr="003A0D14" w:rsidRDefault="003A0D14" w:rsidP="003A0D14">
      <w:pPr>
        <w:widowControl w:val="0"/>
        <w:ind w:left="851" w:hanging="851"/>
        <w:contextualSpacing/>
        <w:jc w:val="both"/>
        <w:rPr>
          <w:rFonts w:eastAsia="Calibri"/>
          <w:sz w:val="24"/>
          <w:szCs w:val="24"/>
        </w:rPr>
      </w:pPr>
      <w:r w:rsidRPr="003A0D14">
        <w:rPr>
          <w:rFonts w:eastAsia="Calibri"/>
          <w:sz w:val="24"/>
          <w:szCs w:val="24"/>
        </w:rPr>
        <w:t>III.</w:t>
      </w:r>
      <w:r w:rsidRPr="003A0D14">
        <w:rPr>
          <w:rFonts w:eastAsia="Calibri"/>
          <w:sz w:val="24"/>
          <w:szCs w:val="24"/>
        </w:rPr>
        <w:tab/>
        <w:t xml:space="preserve">El literal c), del artículo 131 de la </w:t>
      </w:r>
      <w:r w:rsidRPr="003A0D14">
        <w:rPr>
          <w:rFonts w:eastAsia="Calibri"/>
          <w:i/>
          <w:iCs/>
          <w:sz w:val="24"/>
          <w:szCs w:val="24"/>
        </w:rPr>
        <w:t>Ley Orgánica del Banco Central de Costa Rica</w:t>
      </w:r>
      <w:r w:rsidRPr="003A0D14">
        <w:rPr>
          <w:rFonts w:eastAsia="Calibri"/>
          <w:sz w:val="24"/>
          <w:szCs w:val="24"/>
        </w:rPr>
        <w:t xml:space="preserve">, Ley 7558, establece como parte de las funciones del Superintendente General de Entidades Financieras (SUGEF), proponer al Consejo Nacional de Supervisión del Sistema Financiero (CONASSIF) para su aprobación, las normas que estime necesarias para el </w:t>
      </w:r>
      <w:r w:rsidRPr="003A0D14">
        <w:rPr>
          <w:rFonts w:eastAsia="Calibri"/>
          <w:sz w:val="24"/>
          <w:szCs w:val="24"/>
        </w:rPr>
        <w:lastRenderedPageBreak/>
        <w:t>desarrollo de las labores de fiscalización y vigilancia.</w:t>
      </w:r>
    </w:p>
    <w:p w14:paraId="79F48787" w14:textId="77777777" w:rsidR="003A0D14" w:rsidRPr="003A0D14" w:rsidRDefault="003A0D14" w:rsidP="003A0D14">
      <w:pPr>
        <w:pStyle w:val="Prrafodelista"/>
        <w:ind w:left="851" w:hanging="851"/>
        <w:contextualSpacing/>
        <w:rPr>
          <w:rFonts w:eastAsia="Calibri"/>
        </w:rPr>
      </w:pPr>
    </w:p>
    <w:p w14:paraId="35004D84" w14:textId="77777777" w:rsidR="003A0D14" w:rsidRPr="003A0D14" w:rsidRDefault="003A0D14" w:rsidP="003A0D14">
      <w:pPr>
        <w:widowControl w:val="0"/>
        <w:ind w:left="851" w:hanging="851"/>
        <w:contextualSpacing/>
        <w:jc w:val="both"/>
        <w:rPr>
          <w:rFonts w:eastAsia="Calibri"/>
          <w:sz w:val="24"/>
          <w:szCs w:val="24"/>
        </w:rPr>
      </w:pPr>
      <w:bookmarkStart w:id="0" w:name="_Hlk63759037"/>
      <w:r w:rsidRPr="003A0D14">
        <w:rPr>
          <w:rFonts w:eastAsia="Calibri"/>
          <w:sz w:val="24"/>
          <w:szCs w:val="24"/>
        </w:rPr>
        <w:t>IV.</w:t>
      </w:r>
      <w:r w:rsidRPr="003A0D14">
        <w:rPr>
          <w:rFonts w:eastAsia="Calibri"/>
          <w:sz w:val="24"/>
          <w:szCs w:val="24"/>
        </w:rPr>
        <w:tab/>
        <w:t xml:space="preserve">El artículo 3 de la </w:t>
      </w:r>
      <w:r w:rsidRPr="003A0D14">
        <w:rPr>
          <w:rFonts w:eastAsia="Calibri"/>
          <w:i/>
          <w:iCs/>
          <w:sz w:val="24"/>
          <w:szCs w:val="24"/>
        </w:rPr>
        <w:t>Ley Reguladora del Mercado de Valores</w:t>
      </w:r>
      <w:r w:rsidRPr="003A0D14">
        <w:rPr>
          <w:rFonts w:eastAsia="Calibri"/>
          <w:sz w:val="24"/>
          <w:szCs w:val="24"/>
        </w:rPr>
        <w:t>, Ley 7732, establece que corresponde a la Superintendencia General de Valores (SUGEVAL), regular, supervisar y fiscalizar los mercados de valores, la actividad de las personas físicas o jurídicas que intervengan directa o indirectamente en ellos y los actos y contratos relacionados, según lo dispuesto en la Ley</w:t>
      </w:r>
      <w:bookmarkEnd w:id="0"/>
      <w:r w:rsidRPr="003A0D14">
        <w:rPr>
          <w:rFonts w:eastAsia="Calibri"/>
          <w:sz w:val="24"/>
          <w:szCs w:val="24"/>
        </w:rPr>
        <w:t xml:space="preserve">. </w:t>
      </w:r>
    </w:p>
    <w:p w14:paraId="67AA8403" w14:textId="77777777" w:rsidR="003A0D14" w:rsidRPr="003A0D14" w:rsidRDefault="003A0D14" w:rsidP="003A0D14">
      <w:pPr>
        <w:pStyle w:val="Prrafodelista"/>
        <w:ind w:left="851" w:hanging="851"/>
        <w:contextualSpacing/>
        <w:rPr>
          <w:rFonts w:eastAsia="Calibri"/>
        </w:rPr>
      </w:pPr>
    </w:p>
    <w:p w14:paraId="139756BC" w14:textId="77777777" w:rsidR="003A0D14" w:rsidRPr="003A0D14" w:rsidRDefault="003A0D14" w:rsidP="003A0D14">
      <w:pPr>
        <w:widowControl w:val="0"/>
        <w:ind w:left="851" w:hanging="851"/>
        <w:contextualSpacing/>
        <w:jc w:val="both"/>
        <w:rPr>
          <w:rFonts w:eastAsia="Calibri"/>
          <w:sz w:val="24"/>
          <w:szCs w:val="24"/>
          <w:lang w:eastAsia="en-US"/>
        </w:rPr>
      </w:pPr>
      <w:r w:rsidRPr="003A0D14">
        <w:rPr>
          <w:rFonts w:eastAsia="Calibri"/>
          <w:sz w:val="24"/>
          <w:szCs w:val="24"/>
        </w:rPr>
        <w:t>V.</w:t>
      </w:r>
      <w:r w:rsidRPr="003A0D14">
        <w:rPr>
          <w:rFonts w:eastAsia="Calibri"/>
          <w:sz w:val="24"/>
          <w:szCs w:val="24"/>
        </w:rPr>
        <w:tab/>
        <w:t xml:space="preserve">El literal b) del artículo 8 de la </w:t>
      </w:r>
      <w:r w:rsidRPr="003A0D14">
        <w:rPr>
          <w:rFonts w:eastAsia="Calibri"/>
          <w:i/>
          <w:iCs/>
          <w:sz w:val="24"/>
          <w:szCs w:val="24"/>
        </w:rPr>
        <w:t>Ley Reguladora del Mercado de Valores</w:t>
      </w:r>
      <w:r w:rsidRPr="003A0D14">
        <w:rPr>
          <w:rFonts w:eastAsia="Calibri"/>
          <w:sz w:val="24"/>
          <w:szCs w:val="24"/>
        </w:rPr>
        <w:t>, Ley 7732, establece como parte de las funciones del Superintendente General de Valores, someter a consideración del Consejo Nacional de Supervisión del Sistema Financiero (CONASSIF) los proyectos de reglamento que le corresponda dictar a la Superintendencia, de acuerdo con esa ley.</w:t>
      </w:r>
    </w:p>
    <w:p w14:paraId="2FE73680" w14:textId="77777777" w:rsidR="003A0D14" w:rsidRPr="003A0D14" w:rsidRDefault="003A0D14" w:rsidP="003A0D14">
      <w:pPr>
        <w:ind w:left="851" w:hanging="851"/>
        <w:contextualSpacing/>
        <w:rPr>
          <w:rFonts w:eastAsia="Calibri"/>
          <w:sz w:val="24"/>
          <w:szCs w:val="24"/>
        </w:rPr>
      </w:pPr>
    </w:p>
    <w:p w14:paraId="54229BEC" w14:textId="77777777" w:rsidR="003A0D14" w:rsidRPr="003A0D14" w:rsidRDefault="003A0D14" w:rsidP="003A0D14">
      <w:pPr>
        <w:widowControl w:val="0"/>
        <w:ind w:left="851" w:hanging="851"/>
        <w:contextualSpacing/>
        <w:jc w:val="both"/>
        <w:rPr>
          <w:rFonts w:eastAsia="Calibri"/>
          <w:sz w:val="24"/>
          <w:szCs w:val="24"/>
        </w:rPr>
      </w:pPr>
      <w:r w:rsidRPr="003A0D14">
        <w:rPr>
          <w:rFonts w:eastAsia="Calibri"/>
          <w:sz w:val="24"/>
          <w:szCs w:val="24"/>
        </w:rPr>
        <w:t>VI.</w:t>
      </w:r>
      <w:r w:rsidRPr="003A0D14">
        <w:rPr>
          <w:rFonts w:eastAsia="Calibri"/>
          <w:sz w:val="24"/>
          <w:szCs w:val="24"/>
        </w:rPr>
        <w:tab/>
        <w:t xml:space="preserve">De conformidad con el artículo 33, de la </w:t>
      </w:r>
      <w:r w:rsidRPr="003A0D14">
        <w:rPr>
          <w:rFonts w:eastAsia="Calibri"/>
          <w:i/>
          <w:iCs/>
          <w:sz w:val="24"/>
          <w:szCs w:val="24"/>
        </w:rPr>
        <w:t>Ley sobre el Régimen Privado de Pensiones Complementarias</w:t>
      </w:r>
      <w:r w:rsidRPr="003A0D14">
        <w:rPr>
          <w:rFonts w:eastAsia="Calibri"/>
          <w:sz w:val="24"/>
          <w:szCs w:val="24"/>
        </w:rPr>
        <w:t>, Ley 7523, le corresponde a la SUPEN autorizar, regular, supervisar y  fiscalizar los planes, fondos y regímenes contemplados en esa ley, así como aquellos que le sean encomendados en virtud de otras leyes, y la actividad de las operadoras de pensiones, de los entes autorizados para administrar los fondos de capitalización laboral y de las personas físicas o jurídicas que intervengan, directa o indirectamente, en los actos o contratos relacionados con las disposiciones de la ley mencionada.</w:t>
      </w:r>
    </w:p>
    <w:p w14:paraId="4EC49B41" w14:textId="77777777" w:rsidR="003A0D14" w:rsidRPr="003A0D14" w:rsidRDefault="003A0D14" w:rsidP="003A0D14">
      <w:pPr>
        <w:pStyle w:val="Prrafodelista"/>
        <w:ind w:left="851" w:hanging="851"/>
        <w:contextualSpacing/>
        <w:rPr>
          <w:rFonts w:eastAsia="Calibri"/>
        </w:rPr>
      </w:pPr>
    </w:p>
    <w:p w14:paraId="6784E361" w14:textId="77777777" w:rsidR="003A0D14" w:rsidRPr="003A0D14" w:rsidRDefault="003A0D14" w:rsidP="003A0D14">
      <w:pPr>
        <w:widowControl w:val="0"/>
        <w:ind w:left="851" w:hanging="851"/>
        <w:contextualSpacing/>
        <w:jc w:val="both"/>
        <w:rPr>
          <w:rFonts w:eastAsia="Calibri"/>
          <w:sz w:val="24"/>
          <w:szCs w:val="24"/>
        </w:rPr>
      </w:pPr>
      <w:r w:rsidRPr="003A0D14">
        <w:rPr>
          <w:rFonts w:eastAsia="Calibri"/>
          <w:sz w:val="24"/>
          <w:szCs w:val="24"/>
        </w:rPr>
        <w:t>VII.</w:t>
      </w:r>
      <w:r w:rsidRPr="003A0D14">
        <w:rPr>
          <w:rFonts w:eastAsia="Calibri"/>
          <w:sz w:val="24"/>
          <w:szCs w:val="24"/>
        </w:rPr>
        <w:tab/>
        <w:t xml:space="preserve">El literal a) del artículo 38, de la </w:t>
      </w:r>
      <w:r w:rsidRPr="003A0D14">
        <w:rPr>
          <w:rFonts w:eastAsia="Calibri"/>
          <w:i/>
          <w:iCs/>
          <w:sz w:val="24"/>
          <w:szCs w:val="24"/>
        </w:rPr>
        <w:t>Ley sobre el Régimen Privado de Pensiones Complementarias</w:t>
      </w:r>
      <w:r w:rsidRPr="003A0D14">
        <w:rPr>
          <w:rFonts w:eastAsia="Calibri"/>
          <w:sz w:val="24"/>
          <w:szCs w:val="24"/>
        </w:rPr>
        <w:t>, Ley 7523, indica que le corresponde al Superintendente de Pensiones proponer al CONASSIF los reglamentos necesarios para cumplir las competencias y funciones de la Superintendencia a su cargo, así como los informes y dictámenes que este requiera para ejercer sus atribuciones.</w:t>
      </w:r>
    </w:p>
    <w:p w14:paraId="7013E71D" w14:textId="77777777" w:rsidR="003A0D14" w:rsidRPr="003A0D14" w:rsidRDefault="003A0D14" w:rsidP="003A0D14">
      <w:pPr>
        <w:pStyle w:val="Prrafodelista"/>
        <w:ind w:left="851" w:hanging="851"/>
        <w:contextualSpacing/>
        <w:rPr>
          <w:rFonts w:eastAsia="Calibri"/>
        </w:rPr>
      </w:pPr>
    </w:p>
    <w:p w14:paraId="46962C6F" w14:textId="77777777" w:rsidR="003A0D14" w:rsidRPr="003A0D14" w:rsidRDefault="003A0D14" w:rsidP="003A0D14">
      <w:pPr>
        <w:widowControl w:val="0"/>
        <w:ind w:left="851" w:hanging="851"/>
        <w:contextualSpacing/>
        <w:jc w:val="both"/>
        <w:rPr>
          <w:rFonts w:eastAsia="Calibri"/>
          <w:sz w:val="24"/>
          <w:szCs w:val="24"/>
        </w:rPr>
      </w:pPr>
      <w:r w:rsidRPr="003A0D14">
        <w:rPr>
          <w:rFonts w:eastAsia="Calibri"/>
          <w:sz w:val="24"/>
          <w:szCs w:val="24"/>
        </w:rPr>
        <w:t>VIII.</w:t>
      </w:r>
      <w:r w:rsidRPr="003A0D14">
        <w:rPr>
          <w:rFonts w:eastAsia="Calibri"/>
          <w:sz w:val="24"/>
          <w:szCs w:val="24"/>
        </w:rPr>
        <w:tab/>
        <w:t xml:space="preserve">El artículo 29 de la </w:t>
      </w:r>
      <w:r w:rsidRPr="003A0D14">
        <w:rPr>
          <w:rFonts w:eastAsia="Calibri"/>
          <w:i/>
          <w:iCs/>
          <w:sz w:val="24"/>
          <w:szCs w:val="24"/>
        </w:rPr>
        <w:t>Ley Reguladora del Mercado de Seguros</w:t>
      </w:r>
      <w:r w:rsidRPr="003A0D14">
        <w:rPr>
          <w:rFonts w:eastAsia="Calibri"/>
          <w:sz w:val="24"/>
          <w:szCs w:val="24"/>
        </w:rPr>
        <w:t xml:space="preserve">, Ley 8653, establece que la Superintendencia General de Seguros tiene por objeto velar por la estabilidad y el eficiente funcionamiento del mercado de seguros, así como entregar la más amplia información a los asegurados. Para ello, autorizará, regulará y supervisará a las personas, físicas o jurídicas, que intervengan en los actos o contratos relacionados con la actividad aseguradora, reaseguradora, la oferta pública y la realización de negocios de seguros. </w:t>
      </w:r>
    </w:p>
    <w:p w14:paraId="0A33838E" w14:textId="77777777" w:rsidR="003A0D14" w:rsidRPr="003A0D14" w:rsidRDefault="003A0D14" w:rsidP="003A0D14">
      <w:pPr>
        <w:pStyle w:val="Prrafodelista"/>
        <w:ind w:left="851" w:hanging="851"/>
        <w:contextualSpacing/>
        <w:rPr>
          <w:rFonts w:eastAsia="Calibri"/>
        </w:rPr>
      </w:pPr>
    </w:p>
    <w:p w14:paraId="754AA145" w14:textId="77777777" w:rsidR="003A0D14" w:rsidRPr="003A0D14" w:rsidRDefault="003A0D14" w:rsidP="003A0D14">
      <w:pPr>
        <w:widowControl w:val="0"/>
        <w:ind w:left="851" w:hanging="851"/>
        <w:contextualSpacing/>
        <w:jc w:val="both"/>
        <w:rPr>
          <w:rFonts w:eastAsia="Calibri"/>
          <w:sz w:val="24"/>
          <w:szCs w:val="24"/>
        </w:rPr>
      </w:pPr>
      <w:r w:rsidRPr="003A0D14">
        <w:rPr>
          <w:rFonts w:eastAsia="Calibri"/>
          <w:sz w:val="24"/>
          <w:szCs w:val="24"/>
        </w:rPr>
        <w:t>IX.</w:t>
      </w:r>
      <w:r w:rsidRPr="003A0D14">
        <w:rPr>
          <w:rFonts w:eastAsia="Calibri"/>
          <w:sz w:val="24"/>
          <w:szCs w:val="24"/>
        </w:rPr>
        <w:tab/>
        <w:t xml:space="preserve">El literal i del artículo 29 de la </w:t>
      </w:r>
      <w:r w:rsidRPr="003A0D14">
        <w:rPr>
          <w:rFonts w:eastAsia="Calibri"/>
          <w:i/>
          <w:iCs/>
          <w:sz w:val="24"/>
          <w:szCs w:val="24"/>
        </w:rPr>
        <w:t>Ley Reguladora del Mercado de Seguros</w:t>
      </w:r>
      <w:r w:rsidRPr="003A0D14">
        <w:rPr>
          <w:rFonts w:eastAsia="Calibri"/>
          <w:sz w:val="24"/>
          <w:szCs w:val="24"/>
        </w:rPr>
        <w:t xml:space="preserve">, Ley 8653, establece que a la Superintendencia General de Seguros le corresponde proponer al CONASSIF, para su aprobación, la normativa reglamentaria que se requiera para la aplicación de esa Ley y para cumplir sus competencias y funciones. </w:t>
      </w:r>
    </w:p>
    <w:p w14:paraId="4B19C73B" w14:textId="77777777" w:rsidR="003A0D14" w:rsidRPr="003A0D14" w:rsidRDefault="003A0D14" w:rsidP="003A0D14">
      <w:pPr>
        <w:pStyle w:val="Prrafodelista"/>
        <w:ind w:left="851" w:hanging="851"/>
        <w:contextualSpacing/>
        <w:rPr>
          <w:rFonts w:eastAsia="Calibri"/>
        </w:rPr>
      </w:pPr>
    </w:p>
    <w:p w14:paraId="36FD0351" w14:textId="77777777" w:rsidR="003A0D14" w:rsidRPr="003A0D14" w:rsidRDefault="003A0D14" w:rsidP="003A0D14">
      <w:pPr>
        <w:widowControl w:val="0"/>
        <w:ind w:left="851" w:hanging="851"/>
        <w:contextualSpacing/>
        <w:jc w:val="both"/>
        <w:rPr>
          <w:rFonts w:eastAsia="Calibri"/>
          <w:sz w:val="24"/>
          <w:szCs w:val="24"/>
        </w:rPr>
      </w:pPr>
      <w:r w:rsidRPr="003A0D14">
        <w:rPr>
          <w:rFonts w:eastAsia="Calibri"/>
          <w:sz w:val="24"/>
          <w:szCs w:val="24"/>
        </w:rPr>
        <w:t>X.</w:t>
      </w:r>
      <w:r w:rsidRPr="003A0D14">
        <w:rPr>
          <w:rFonts w:eastAsia="Calibri"/>
          <w:sz w:val="24"/>
          <w:szCs w:val="24"/>
        </w:rPr>
        <w:tab/>
        <w:t xml:space="preserve">La </w:t>
      </w:r>
      <w:r w:rsidRPr="003A0D14">
        <w:rPr>
          <w:rFonts w:eastAsia="Calibri"/>
          <w:i/>
          <w:iCs/>
          <w:sz w:val="24"/>
          <w:szCs w:val="24"/>
        </w:rPr>
        <w:t>Ley para potenciar el financiamiento y la inversión para el desarrollo sostenible, mediante el uso de valores de oferta pública temáticos</w:t>
      </w:r>
      <w:r w:rsidRPr="003A0D14">
        <w:rPr>
          <w:rFonts w:eastAsia="Calibri"/>
          <w:sz w:val="24"/>
          <w:szCs w:val="24"/>
        </w:rPr>
        <w:t xml:space="preserve">, Ley 10051, fue aprobada el 14 de octubre 2021. Esta ley tiene como objetivo el promover el financiamiento y la inversión mediante el uso de valores de oferta pública temáticos en actividades, obras </w:t>
      </w:r>
      <w:r w:rsidRPr="003A0D14">
        <w:rPr>
          <w:rFonts w:eastAsia="Calibri"/>
          <w:sz w:val="24"/>
          <w:szCs w:val="24"/>
        </w:rPr>
        <w:lastRenderedPageBreak/>
        <w:t xml:space="preserve">y proyectos tendientes a alcanzar los Objetivos de Desarrollo Sostenible, el Plan Nacional de Descarbonización, la Política Nacional de Adaptación al Cambio Climático, la Política Nacional de Producción y Consumo Sostenible, así como cualquier otro instrumento de política pública que persiga los mismos objetivos. </w:t>
      </w:r>
    </w:p>
    <w:p w14:paraId="23750EF2" w14:textId="77777777" w:rsidR="003A0D14" w:rsidRPr="003A0D14" w:rsidRDefault="003A0D14" w:rsidP="003A0D14">
      <w:pPr>
        <w:pStyle w:val="Prrafodelista"/>
        <w:ind w:left="851" w:hanging="851"/>
        <w:contextualSpacing/>
        <w:rPr>
          <w:rFonts w:eastAsia="Calibri"/>
        </w:rPr>
      </w:pPr>
    </w:p>
    <w:p w14:paraId="5CCB2F8E" w14:textId="77777777" w:rsidR="003A0D14" w:rsidRPr="003A0D14" w:rsidRDefault="003A0D14" w:rsidP="003A0D14">
      <w:pPr>
        <w:widowControl w:val="0"/>
        <w:ind w:left="851" w:hanging="851"/>
        <w:contextualSpacing/>
        <w:jc w:val="both"/>
        <w:rPr>
          <w:rFonts w:eastAsia="Calibri"/>
          <w:sz w:val="24"/>
          <w:szCs w:val="24"/>
        </w:rPr>
      </w:pPr>
      <w:r w:rsidRPr="003A0D14">
        <w:rPr>
          <w:rFonts w:eastAsia="Calibri"/>
          <w:sz w:val="24"/>
          <w:szCs w:val="24"/>
        </w:rPr>
        <w:t>XI.</w:t>
      </w:r>
      <w:r w:rsidRPr="003A0D14">
        <w:rPr>
          <w:rFonts w:eastAsia="Calibri"/>
          <w:sz w:val="24"/>
          <w:szCs w:val="24"/>
        </w:rPr>
        <w:tab/>
        <w:t xml:space="preserve">El artículo 5 de la Ley 10051, establece las acciones para potenciar el financiamiento e inversión para el desarrollo sostenible mediante el uso de valores de oferta pública temáticos. El inciso 1 de este artículo indica que la Superintendencia General de Valores, la Superintendencia de Pensiones, la Superintendencias General de Entidades Financieras y la Superintendencia General de Seguros, deberán proponer los ajustes normativos al CONASSIF, para que las entidades supervisadas que realizan inversiones incluyan dentro de sus políticas, estrategias de inversión sostenibles o responsables, con el fin de que el dinero que administran no solo genere rendimientos financieros, sino que además se pueda canalizar parte de la inversión a actividades, obras y proyectos que contribuyan con el cumplimiento de los Objetivos de Desarrollo Sostenible y la Estrategia Nacional de Cambio Climático. </w:t>
      </w:r>
    </w:p>
    <w:p w14:paraId="79EC4C06" w14:textId="77777777" w:rsidR="003A0D14" w:rsidRPr="003A0D14" w:rsidRDefault="003A0D14" w:rsidP="003A0D14">
      <w:pPr>
        <w:pStyle w:val="Prrafodelista"/>
        <w:ind w:left="851" w:hanging="851"/>
        <w:contextualSpacing/>
        <w:rPr>
          <w:rFonts w:eastAsia="Calibri"/>
        </w:rPr>
      </w:pPr>
    </w:p>
    <w:p w14:paraId="792D8287" w14:textId="77777777" w:rsidR="003A0D14" w:rsidRPr="003A0D14" w:rsidRDefault="003A0D14" w:rsidP="003A0D14">
      <w:pPr>
        <w:widowControl w:val="0"/>
        <w:ind w:left="851" w:hanging="851"/>
        <w:contextualSpacing/>
        <w:jc w:val="both"/>
        <w:rPr>
          <w:rFonts w:eastAsia="Calibri"/>
          <w:sz w:val="24"/>
          <w:szCs w:val="24"/>
        </w:rPr>
      </w:pPr>
      <w:r w:rsidRPr="003A0D14">
        <w:rPr>
          <w:rFonts w:eastAsia="Calibri"/>
          <w:sz w:val="24"/>
          <w:szCs w:val="24"/>
        </w:rPr>
        <w:t>XII.</w:t>
      </w:r>
      <w:r w:rsidRPr="003A0D14">
        <w:rPr>
          <w:rFonts w:eastAsia="Calibri"/>
          <w:sz w:val="24"/>
          <w:szCs w:val="24"/>
        </w:rPr>
        <w:tab/>
        <w:t>El artículo 5, inciso 2, de la Ley 10051, establece que el CONASSIF, “</w:t>
      </w:r>
      <w:r w:rsidRPr="003A0D14">
        <w:rPr>
          <w:rFonts w:eastAsia="Calibri"/>
          <w:i/>
          <w:iCs/>
          <w:sz w:val="24"/>
          <w:szCs w:val="24"/>
        </w:rPr>
        <w:t>previo análisis de la oferta en el mercado y del riesgo, y en concordancia con la regulación del sistema financiero, podrá establecer a los fondos de pensión, fondos de inversión, aseguradoras y entidades bancarias un porcentaje mínimo de su portafolio de inversión que deberá destinarse a valores de oferta pública temáticos. Al establecer este porcentaje mínimo, o cada vez que se modifique, el Consejo deberá otorgar un plazo razonable a las entidades supervisadas señaladas, para que realicen los ajustes correspondientes. Los fondos de pensiones de la Caja Costarricense del Seguro Social quedan excluidos de esta obligación</w:t>
      </w:r>
      <w:r w:rsidRPr="003A0D14">
        <w:rPr>
          <w:rFonts w:eastAsia="Calibri"/>
          <w:sz w:val="24"/>
          <w:szCs w:val="24"/>
        </w:rPr>
        <w:t>”.</w:t>
      </w:r>
    </w:p>
    <w:p w14:paraId="61F57B17" w14:textId="77777777" w:rsidR="003A0D14" w:rsidRPr="003A0D14" w:rsidRDefault="003A0D14" w:rsidP="003A0D14">
      <w:pPr>
        <w:ind w:left="851" w:hanging="851"/>
        <w:contextualSpacing/>
        <w:rPr>
          <w:rFonts w:eastAsia="Calibri"/>
          <w:sz w:val="24"/>
          <w:szCs w:val="24"/>
          <w:highlight w:val="yellow"/>
        </w:rPr>
      </w:pPr>
    </w:p>
    <w:p w14:paraId="217FF98C" w14:textId="77777777" w:rsidR="003A0D14" w:rsidRPr="00263B00" w:rsidRDefault="003A0D14" w:rsidP="003A0D14">
      <w:pPr>
        <w:ind w:left="851" w:hanging="851"/>
        <w:contextualSpacing/>
        <w:rPr>
          <w:b/>
          <w:bCs/>
          <w:sz w:val="24"/>
          <w:szCs w:val="24"/>
        </w:rPr>
      </w:pPr>
      <w:r w:rsidRPr="00263B00">
        <w:rPr>
          <w:b/>
          <w:bCs/>
          <w:sz w:val="24"/>
          <w:szCs w:val="24"/>
        </w:rPr>
        <w:t xml:space="preserve">Consideraciones técnicas  </w:t>
      </w:r>
    </w:p>
    <w:p w14:paraId="459541AE" w14:textId="77777777" w:rsidR="003A0D14" w:rsidRPr="00263B00" w:rsidRDefault="003A0D14" w:rsidP="003A0D14">
      <w:pPr>
        <w:pStyle w:val="Prrafodelista"/>
        <w:ind w:left="851" w:hanging="851"/>
        <w:contextualSpacing/>
        <w:rPr>
          <w:b/>
          <w:bCs/>
        </w:rPr>
      </w:pPr>
    </w:p>
    <w:p w14:paraId="0A05978A" w14:textId="77777777" w:rsidR="003A0D14" w:rsidRPr="003A0D14" w:rsidRDefault="003A0D14" w:rsidP="003A0D14">
      <w:pPr>
        <w:widowControl w:val="0"/>
        <w:ind w:left="851" w:hanging="851"/>
        <w:contextualSpacing/>
        <w:jc w:val="both"/>
        <w:rPr>
          <w:rFonts w:eastAsia="Calibri"/>
          <w:sz w:val="24"/>
          <w:szCs w:val="24"/>
        </w:rPr>
      </w:pPr>
      <w:r w:rsidRPr="003A0D14">
        <w:rPr>
          <w:rFonts w:eastAsia="Calibri"/>
          <w:sz w:val="24"/>
          <w:szCs w:val="24"/>
        </w:rPr>
        <w:t>XIII.</w:t>
      </w:r>
      <w:r w:rsidRPr="003A0D14">
        <w:rPr>
          <w:rFonts w:eastAsia="Calibri"/>
          <w:sz w:val="24"/>
          <w:szCs w:val="24"/>
        </w:rPr>
        <w:tab/>
        <w:t>La Asamblea General de la Organización de las Naciones Unidas aprobó el 18 de septiembre del 2015 la Resolución “17/1</w:t>
      </w:r>
      <w:r w:rsidRPr="003A0D14">
        <w:rPr>
          <w:rFonts w:eastAsia="Calibri"/>
          <w:i/>
          <w:iCs/>
          <w:sz w:val="24"/>
          <w:szCs w:val="24"/>
        </w:rPr>
        <w:t> “Transformar nuestro mundo: la Agenda 2030 para el Desarrollo Sostenible</w:t>
      </w:r>
      <w:r w:rsidRPr="003A0D14">
        <w:rPr>
          <w:rFonts w:eastAsia="Calibri"/>
          <w:sz w:val="24"/>
          <w:szCs w:val="24"/>
        </w:rPr>
        <w:t xml:space="preserve">”. La agenda es un plan de acción al 2030 para poner fin a la pobreza, la desigualdad, proteger al planeta contra la degradación, los efectos del cambio climático, y garantizar los derechos humanos para todas las personas. La agenda es de carácter universal e incorpora los Objetivos de Desarrollo Sostenible (ODS), los cuales son integrales y combinan las tres dimensiones del desarrollo sostenible: económica, social y ambiental. </w:t>
      </w:r>
    </w:p>
    <w:p w14:paraId="13934F1E" w14:textId="77777777" w:rsidR="003A0D14" w:rsidRPr="003A0D14" w:rsidRDefault="003A0D14" w:rsidP="003A0D14">
      <w:pPr>
        <w:pStyle w:val="Prrafodelista"/>
        <w:ind w:left="851" w:hanging="851"/>
        <w:contextualSpacing/>
        <w:rPr>
          <w:rFonts w:eastAsia="Calibri"/>
        </w:rPr>
      </w:pPr>
    </w:p>
    <w:p w14:paraId="154EFE67" w14:textId="77777777" w:rsidR="003A0D14" w:rsidRPr="003A0D14" w:rsidRDefault="003A0D14" w:rsidP="003A0D14">
      <w:pPr>
        <w:widowControl w:val="0"/>
        <w:ind w:left="851" w:hanging="851"/>
        <w:contextualSpacing/>
        <w:jc w:val="both"/>
        <w:rPr>
          <w:rFonts w:eastAsia="Calibri"/>
          <w:sz w:val="24"/>
          <w:szCs w:val="24"/>
        </w:rPr>
      </w:pPr>
      <w:r w:rsidRPr="003A0D14">
        <w:rPr>
          <w:rFonts w:eastAsia="Calibri"/>
          <w:sz w:val="24"/>
          <w:szCs w:val="24"/>
        </w:rPr>
        <w:t>XIV.</w:t>
      </w:r>
      <w:r w:rsidRPr="003A0D14">
        <w:rPr>
          <w:rFonts w:eastAsia="Calibri"/>
          <w:sz w:val="24"/>
          <w:szCs w:val="24"/>
        </w:rPr>
        <w:tab/>
        <w:t xml:space="preserve">La Estrategia Nacional de Cambio Climático Objetivo pretendió reducir los impactos sociales, ambientales y económicos del cambio climático y tomar ventaja de las oportunidades, promoviendo el desarrollo sostenible mediante el crecimiento económico, el progreso social y la protección ambiental por medio de iniciativas de mitigación y acciones de adaptación, para que el país mejorara la calidad de vida de sus habitantes y de sus ecosistemas, al dirigirse hacia una economía carbono neutral competitiva para el 2021. A esta iniciativa le ha acompañado la Política Nacional de </w:t>
      </w:r>
      <w:r w:rsidRPr="003A0D14">
        <w:rPr>
          <w:rFonts w:eastAsia="Calibri"/>
          <w:sz w:val="24"/>
          <w:szCs w:val="24"/>
        </w:rPr>
        <w:lastRenderedPageBreak/>
        <w:t>Adaptación ante el Cambio Climático, que busca, al 2030 ser un país que transforma las amenazas en oportunidades, fortalece las capacidades y condiciones de resiliencia social, ambiental y económica, mediante procesos de innovación y gobernanza participativa, que permitan prevenir y, recuperarse ante los efectos adversos del cambio climático.</w:t>
      </w:r>
    </w:p>
    <w:p w14:paraId="12827A5B" w14:textId="77777777" w:rsidR="003A0D14" w:rsidRPr="003A0D14" w:rsidRDefault="003A0D14" w:rsidP="003A0D14">
      <w:pPr>
        <w:pStyle w:val="Prrafodelista"/>
        <w:ind w:left="851" w:hanging="851"/>
        <w:contextualSpacing/>
        <w:rPr>
          <w:rFonts w:eastAsia="Calibri"/>
        </w:rPr>
      </w:pPr>
    </w:p>
    <w:p w14:paraId="329CACBB" w14:textId="77777777" w:rsidR="003A0D14" w:rsidRPr="003A0D14" w:rsidRDefault="003A0D14" w:rsidP="003A0D14">
      <w:pPr>
        <w:widowControl w:val="0"/>
        <w:ind w:left="851" w:hanging="851"/>
        <w:contextualSpacing/>
        <w:jc w:val="both"/>
        <w:rPr>
          <w:rFonts w:eastAsia="Calibri"/>
          <w:sz w:val="24"/>
          <w:szCs w:val="24"/>
        </w:rPr>
      </w:pPr>
      <w:r w:rsidRPr="003A0D14">
        <w:rPr>
          <w:rFonts w:eastAsia="Calibri"/>
          <w:sz w:val="24"/>
          <w:szCs w:val="24"/>
        </w:rPr>
        <w:t>XV.</w:t>
      </w:r>
      <w:r w:rsidRPr="003A0D14">
        <w:rPr>
          <w:rFonts w:eastAsia="Calibri"/>
          <w:sz w:val="24"/>
          <w:szCs w:val="24"/>
        </w:rPr>
        <w:tab/>
        <w:t>El artículo 2, inciso 12, de la Ley 10051, expone que la inversión sostenible o responsable, es una estrategia de inversión que, aparte de considerar aspectos financieros, también toma en cuenta factores ambientales, sociales y de gobernanza (ASG) en las decisiones de inversión.</w:t>
      </w:r>
    </w:p>
    <w:p w14:paraId="3F9B5A33" w14:textId="77777777" w:rsidR="003A0D14" w:rsidRPr="003A0D14" w:rsidRDefault="003A0D14" w:rsidP="003A0D14">
      <w:pPr>
        <w:ind w:left="851" w:hanging="851"/>
        <w:contextualSpacing/>
        <w:rPr>
          <w:rFonts w:eastAsia="Calibri"/>
          <w:sz w:val="24"/>
          <w:szCs w:val="24"/>
        </w:rPr>
      </w:pPr>
    </w:p>
    <w:p w14:paraId="45E02F51" w14:textId="77777777" w:rsidR="003A0D14" w:rsidRPr="003A0D14" w:rsidRDefault="003A0D14" w:rsidP="003A0D14">
      <w:pPr>
        <w:widowControl w:val="0"/>
        <w:ind w:left="851" w:hanging="851"/>
        <w:contextualSpacing/>
        <w:jc w:val="both"/>
        <w:rPr>
          <w:rFonts w:eastAsia="Calibri"/>
          <w:sz w:val="24"/>
          <w:szCs w:val="24"/>
        </w:rPr>
      </w:pPr>
      <w:r w:rsidRPr="003A0D14">
        <w:rPr>
          <w:rFonts w:eastAsia="Calibri"/>
          <w:sz w:val="24"/>
          <w:szCs w:val="24"/>
        </w:rPr>
        <w:t>XVI.</w:t>
      </w:r>
      <w:r w:rsidRPr="003A0D14">
        <w:rPr>
          <w:rFonts w:eastAsia="Calibri"/>
          <w:sz w:val="24"/>
          <w:szCs w:val="24"/>
        </w:rPr>
        <w:tab/>
        <w:t xml:space="preserve">A pesar de que existen diversas fuentes para referirse a los factores ambiente, social y gobernanza, el documento del </w:t>
      </w:r>
      <w:r w:rsidRPr="003A0D14">
        <w:rPr>
          <w:rFonts w:eastAsia="Calibri"/>
          <w:i/>
          <w:iCs/>
          <w:sz w:val="24"/>
          <w:szCs w:val="24"/>
        </w:rPr>
        <w:t>Internacional Finance Corporation</w:t>
      </w:r>
      <w:r w:rsidRPr="003A0D14">
        <w:rPr>
          <w:rFonts w:eastAsia="Calibri"/>
          <w:sz w:val="24"/>
          <w:szCs w:val="24"/>
        </w:rPr>
        <w:t xml:space="preserve"> (IFC) -dependencia financiera del Banco Mundial-, titulado </w:t>
      </w:r>
      <w:r w:rsidRPr="003A0D14">
        <w:rPr>
          <w:rFonts w:eastAsia="Calibri"/>
          <w:i/>
          <w:iCs/>
          <w:sz w:val="24"/>
          <w:szCs w:val="24"/>
        </w:rPr>
        <w:t>IFC ESG</w:t>
      </w:r>
      <w:r w:rsidRPr="003A0D14">
        <w:rPr>
          <w:rFonts w:eastAsia="Calibri"/>
          <w:sz w:val="24"/>
          <w:szCs w:val="24"/>
        </w:rPr>
        <w:t xml:space="preserve"> </w:t>
      </w:r>
      <w:r w:rsidRPr="003A0D14">
        <w:rPr>
          <w:rFonts w:eastAsia="Calibri"/>
          <w:i/>
          <w:iCs/>
          <w:sz w:val="24"/>
          <w:szCs w:val="24"/>
        </w:rPr>
        <w:t>Guidebook</w:t>
      </w:r>
      <w:r w:rsidRPr="003A0D14">
        <w:rPr>
          <w:rFonts w:eastAsia="Calibri"/>
          <w:sz w:val="24"/>
          <w:szCs w:val="24"/>
        </w:rPr>
        <w:t>, del año 2021, aborda los factores de una manera pragmática y general, lo cual es ventajoso para desarrollar esta iniciativa y orientar la regulación financiera costarricense. A continuación, se presenta la definición del IFC (traducción libre):</w:t>
      </w:r>
    </w:p>
    <w:p w14:paraId="448419A2" w14:textId="77777777" w:rsidR="003A0D14" w:rsidRPr="003A0D14" w:rsidRDefault="003A0D14" w:rsidP="003A0D14">
      <w:pPr>
        <w:ind w:left="851" w:hanging="851"/>
        <w:contextualSpacing/>
        <w:rPr>
          <w:rFonts w:eastAsia="Calibri"/>
          <w:sz w:val="24"/>
          <w:szCs w:val="24"/>
          <w:highlight w:val="yellow"/>
        </w:rPr>
      </w:pPr>
    </w:p>
    <w:p w14:paraId="1AD82236" w14:textId="77777777" w:rsidR="003A0D14" w:rsidRPr="003A0D14" w:rsidRDefault="003A0D14" w:rsidP="003A0D14">
      <w:pPr>
        <w:ind w:left="851"/>
        <w:contextualSpacing/>
        <w:jc w:val="both"/>
        <w:rPr>
          <w:rFonts w:eastAsia="Calibri"/>
          <w:i/>
          <w:iCs/>
          <w:sz w:val="24"/>
          <w:szCs w:val="24"/>
        </w:rPr>
      </w:pPr>
      <w:r w:rsidRPr="003A0D14">
        <w:rPr>
          <w:rFonts w:eastAsia="Calibri"/>
          <w:i/>
          <w:iCs/>
          <w:sz w:val="24"/>
          <w:szCs w:val="24"/>
        </w:rPr>
        <w:t>“Las letras ASG son un conjunto de factores ambientales, sociales y de gobernanza, considerados por las organizaciones al administrar sus operaciones y los inversionistas al realizar inversiones, con respecto a los riesgos, impactos y oportunidades relacionados con, entre otros:</w:t>
      </w:r>
    </w:p>
    <w:p w14:paraId="70A53A98" w14:textId="77777777" w:rsidR="003A0D14" w:rsidRPr="003A0D14" w:rsidRDefault="003A0D14" w:rsidP="003A0D14">
      <w:pPr>
        <w:ind w:left="851" w:hanging="851"/>
        <w:contextualSpacing/>
        <w:jc w:val="both"/>
        <w:rPr>
          <w:rFonts w:eastAsia="Calibri"/>
          <w:i/>
          <w:iCs/>
          <w:sz w:val="24"/>
          <w:szCs w:val="24"/>
        </w:rPr>
      </w:pPr>
    </w:p>
    <w:p w14:paraId="0DC5D647" w14:textId="77777777" w:rsidR="003A0D14" w:rsidRPr="003A0D14" w:rsidRDefault="003A0D14" w:rsidP="003A0D14">
      <w:pPr>
        <w:ind w:left="851"/>
        <w:contextualSpacing/>
        <w:jc w:val="both"/>
        <w:rPr>
          <w:rFonts w:eastAsia="Calibri"/>
          <w:i/>
          <w:iCs/>
          <w:sz w:val="24"/>
          <w:szCs w:val="24"/>
        </w:rPr>
      </w:pPr>
      <w:r w:rsidRPr="003A0D14">
        <w:rPr>
          <w:rFonts w:eastAsia="Calibri"/>
          <w:i/>
          <w:iCs/>
          <w:sz w:val="24"/>
          <w:szCs w:val="24"/>
        </w:rPr>
        <w:t>Cuestiones ambientales: cambios potenciales o reales en el entorno físico o natural (por ej., contaminación, impactos en la biodiversidad, emisiones de carbono, cambio climático, uso de recursos naturales).</w:t>
      </w:r>
    </w:p>
    <w:p w14:paraId="79BA1B69" w14:textId="77777777" w:rsidR="003A0D14" w:rsidRPr="003A0D14" w:rsidRDefault="003A0D14" w:rsidP="003A0D14">
      <w:pPr>
        <w:ind w:left="851" w:hanging="851"/>
        <w:contextualSpacing/>
        <w:jc w:val="both"/>
        <w:rPr>
          <w:rFonts w:eastAsia="Calibri"/>
          <w:i/>
          <w:iCs/>
          <w:sz w:val="24"/>
          <w:szCs w:val="24"/>
        </w:rPr>
      </w:pPr>
    </w:p>
    <w:p w14:paraId="73BA7F21" w14:textId="77777777" w:rsidR="003A0D14" w:rsidRPr="003A0D14" w:rsidRDefault="003A0D14" w:rsidP="003A0D14">
      <w:pPr>
        <w:ind w:left="851"/>
        <w:contextualSpacing/>
        <w:jc w:val="both"/>
        <w:rPr>
          <w:rFonts w:eastAsia="Calibri"/>
          <w:i/>
          <w:iCs/>
          <w:sz w:val="24"/>
          <w:szCs w:val="24"/>
        </w:rPr>
      </w:pPr>
      <w:r w:rsidRPr="003A0D14">
        <w:rPr>
          <w:rFonts w:eastAsia="Calibri"/>
          <w:i/>
          <w:iCs/>
          <w:sz w:val="24"/>
          <w:szCs w:val="24"/>
        </w:rPr>
        <w:t>Aspectos sociales: cambios potenciales o reales en la comunidad y los trabajadores circundantes (por. ej., salud y seguridad, cadena de suministro, diversidad e inclusión); y</w:t>
      </w:r>
    </w:p>
    <w:p w14:paraId="54AC1C15" w14:textId="77777777" w:rsidR="003A0D14" w:rsidRPr="003A0D14" w:rsidRDefault="003A0D14" w:rsidP="003A0D14">
      <w:pPr>
        <w:ind w:left="851" w:hanging="851"/>
        <w:contextualSpacing/>
        <w:jc w:val="both"/>
        <w:rPr>
          <w:rFonts w:eastAsia="Calibri"/>
          <w:i/>
          <w:iCs/>
          <w:sz w:val="24"/>
          <w:szCs w:val="24"/>
        </w:rPr>
      </w:pPr>
    </w:p>
    <w:p w14:paraId="69BE3EA6" w14:textId="77777777" w:rsidR="003A0D14" w:rsidRPr="003A0D14" w:rsidRDefault="003A0D14" w:rsidP="003A0D14">
      <w:pPr>
        <w:ind w:left="851"/>
        <w:contextualSpacing/>
        <w:jc w:val="both"/>
        <w:rPr>
          <w:rFonts w:eastAsia="Calibri"/>
          <w:i/>
          <w:iCs/>
          <w:sz w:val="24"/>
          <w:szCs w:val="24"/>
        </w:rPr>
      </w:pPr>
      <w:r w:rsidRPr="003A0D14">
        <w:rPr>
          <w:rFonts w:eastAsia="Calibri"/>
          <w:i/>
          <w:iCs/>
          <w:sz w:val="24"/>
          <w:szCs w:val="24"/>
        </w:rPr>
        <w:t>Gobernanza: estructuras y procesos de gobierno corporativo mediante los cuales las organizaciones son dirigidas y controladas (por ej., estructura y diversidad del directorio, conducta ética, gestión de riesgos, divulgación y transparencia), incluida la gobernanza de políticas y procedimientos ambientales y sociales clave.”</w:t>
      </w:r>
    </w:p>
    <w:p w14:paraId="42764B29" w14:textId="77777777" w:rsidR="003A0D14" w:rsidRPr="003A0D14" w:rsidRDefault="003A0D14" w:rsidP="003A0D14">
      <w:pPr>
        <w:ind w:left="851" w:hanging="851"/>
        <w:contextualSpacing/>
        <w:jc w:val="both"/>
        <w:rPr>
          <w:rFonts w:eastAsia="Calibri"/>
          <w:i/>
          <w:iCs/>
          <w:sz w:val="24"/>
          <w:szCs w:val="24"/>
          <w:highlight w:val="yellow"/>
        </w:rPr>
      </w:pPr>
    </w:p>
    <w:p w14:paraId="4F2E2A1A" w14:textId="77777777" w:rsidR="003A0D14" w:rsidRPr="003A0D14" w:rsidRDefault="003A0D14" w:rsidP="003A0D14">
      <w:pPr>
        <w:widowControl w:val="0"/>
        <w:ind w:left="851" w:hanging="851"/>
        <w:contextualSpacing/>
        <w:jc w:val="both"/>
        <w:rPr>
          <w:rFonts w:eastAsia="Calibri"/>
          <w:sz w:val="24"/>
          <w:szCs w:val="24"/>
        </w:rPr>
      </w:pPr>
      <w:r w:rsidRPr="003A0D14">
        <w:rPr>
          <w:rFonts w:eastAsia="Calibri"/>
          <w:sz w:val="24"/>
          <w:szCs w:val="24"/>
        </w:rPr>
        <w:t>XVII.</w:t>
      </w:r>
      <w:r w:rsidRPr="003A0D14">
        <w:rPr>
          <w:rFonts w:eastAsia="Calibri"/>
          <w:sz w:val="24"/>
          <w:szCs w:val="24"/>
        </w:rPr>
        <w:tab/>
        <w:t>La instrucción que dio la Ley 10051 para que las entidades supervisadas que realizan inversiones incluyan dentro de sus políticas estrategias de inversión sostenible o responsable, encuentra coincidencia en la práctica internacional, como es el caso de los lineamientos para la integración de los factores ambientales, sociales y de gobernanza en los procesos de inversión y manejo de riesgos de los fondos de pensiones, emitidos en 2019 por la Organización Internacional de Supervisores de Pensiones (IOPS, por sus siglas en inglés), tal y como se observa en el primer lineamiento (traducción libre):</w:t>
      </w:r>
    </w:p>
    <w:p w14:paraId="391208DA" w14:textId="77777777" w:rsidR="003A0D14" w:rsidRPr="003A0D14" w:rsidRDefault="003A0D14" w:rsidP="003A0D14">
      <w:pPr>
        <w:pStyle w:val="Prrafodelista"/>
        <w:ind w:left="851" w:hanging="851"/>
        <w:contextualSpacing/>
        <w:rPr>
          <w:rFonts w:eastAsia="Calibri"/>
        </w:rPr>
      </w:pPr>
    </w:p>
    <w:p w14:paraId="03EA7222" w14:textId="77777777" w:rsidR="003A0D14" w:rsidRPr="003A0D14" w:rsidRDefault="003A0D14" w:rsidP="009C79C0">
      <w:pPr>
        <w:pStyle w:val="Prrafodelista"/>
        <w:ind w:left="851"/>
        <w:contextualSpacing/>
        <w:jc w:val="both"/>
        <w:rPr>
          <w:rFonts w:eastAsia="Calibri"/>
          <w:i/>
          <w:iCs/>
        </w:rPr>
      </w:pPr>
      <w:r w:rsidRPr="003A0D14">
        <w:rPr>
          <w:rFonts w:eastAsia="Calibri"/>
          <w:i/>
          <w:iCs/>
        </w:rPr>
        <w:lastRenderedPageBreak/>
        <w:t>“Lineamiento 1: Las autoridades de supervisión deben exigir que el órgano rector de un fondo de pensiones considere los factores ambientales, sociales y de gobernanza, junto con todos los demás factores financieros sustanciales, que puedan contribuir a lograr los objetivos de jubilación a largo plazo de los miembros del fondo de pensiones y sus beneficiarios. En particular, estas consideraciones más amplias deben tenerse en cuenta en el proceso de gestión de riesgos e inversiones del fondo de pensiones.”</w:t>
      </w:r>
    </w:p>
    <w:p w14:paraId="54293B25" w14:textId="77777777" w:rsidR="003A0D14" w:rsidRPr="003A0D14" w:rsidRDefault="003A0D14" w:rsidP="003A0D14">
      <w:pPr>
        <w:pStyle w:val="Prrafodelista"/>
        <w:ind w:left="851" w:hanging="851"/>
        <w:contextualSpacing/>
        <w:rPr>
          <w:rFonts w:eastAsia="Calibri"/>
          <w:i/>
          <w:iCs/>
        </w:rPr>
      </w:pPr>
    </w:p>
    <w:p w14:paraId="4CCEEE81" w14:textId="77777777" w:rsidR="003A0D14" w:rsidRPr="003A0D14" w:rsidRDefault="003A0D14" w:rsidP="003A0D14">
      <w:pPr>
        <w:pStyle w:val="Prrafodelista"/>
        <w:ind w:left="851"/>
        <w:contextualSpacing/>
        <w:jc w:val="both"/>
        <w:rPr>
          <w:rFonts w:eastAsia="Calibri"/>
        </w:rPr>
      </w:pPr>
      <w:r w:rsidRPr="003A0D14">
        <w:rPr>
          <w:rFonts w:eastAsia="Calibri"/>
        </w:rPr>
        <w:t>Nótese que el lineamiento no solo aborda la consideración de factores ambientales, sociales y de gobernanza, sino que también indica que la gestión de los riesgos debe ser considerada.</w:t>
      </w:r>
    </w:p>
    <w:p w14:paraId="39A0B291" w14:textId="77777777" w:rsidR="003A0D14" w:rsidRPr="003A0D14" w:rsidRDefault="003A0D14" w:rsidP="003A0D14">
      <w:pPr>
        <w:pStyle w:val="Prrafodelista"/>
        <w:ind w:left="851" w:hanging="851"/>
        <w:contextualSpacing/>
        <w:rPr>
          <w:rFonts w:eastAsia="Calibri"/>
        </w:rPr>
      </w:pPr>
    </w:p>
    <w:p w14:paraId="64EF2723" w14:textId="77777777" w:rsidR="003A0D14" w:rsidRPr="003A0D14" w:rsidRDefault="003A0D14" w:rsidP="003A0D14">
      <w:pPr>
        <w:widowControl w:val="0"/>
        <w:ind w:left="851" w:hanging="851"/>
        <w:contextualSpacing/>
        <w:jc w:val="both"/>
        <w:rPr>
          <w:rFonts w:eastAsia="Calibri"/>
          <w:sz w:val="24"/>
          <w:szCs w:val="24"/>
        </w:rPr>
      </w:pPr>
      <w:r w:rsidRPr="003A0D14">
        <w:rPr>
          <w:rFonts w:eastAsia="Calibri"/>
          <w:sz w:val="24"/>
          <w:szCs w:val="24"/>
        </w:rPr>
        <w:t>XVIII.</w:t>
      </w:r>
      <w:r w:rsidRPr="003A0D14">
        <w:rPr>
          <w:rFonts w:eastAsia="Calibri"/>
          <w:sz w:val="24"/>
          <w:szCs w:val="24"/>
        </w:rPr>
        <w:tab/>
        <w:t xml:space="preserve">En complemento al considerando anterior, al analizar el sector de seguros, se tiene que el Programa de las Naciones Unidas para el Medio Ambiente ha emitido principios de sostenibilidad de adopción voluntaria para incorporar los temas de sostenibilidad a las prácticas del sistema financiero, entre los que se encuentran los Principios para la sostenibilidad en seguros, publicados en 2012. Los principios buscan potenciar el financiamiento e inversión para el desarrollo sostenible y entre diversos objetivos, se aspira a que las entidades aseguradoras integren en el proceso de toma de decisiones las cuestiones ambientales, sociales y de gobernanza. </w:t>
      </w:r>
    </w:p>
    <w:p w14:paraId="45BD47FA" w14:textId="77777777" w:rsidR="003A0D14" w:rsidRPr="003A0D14" w:rsidRDefault="003A0D14" w:rsidP="003A0D14">
      <w:pPr>
        <w:pStyle w:val="Prrafodelista"/>
        <w:ind w:left="851" w:hanging="851"/>
        <w:contextualSpacing/>
        <w:rPr>
          <w:rFonts w:eastAsia="Calibri"/>
        </w:rPr>
      </w:pPr>
    </w:p>
    <w:p w14:paraId="097F08A2" w14:textId="77777777" w:rsidR="003A0D14" w:rsidRPr="003A0D14" w:rsidRDefault="003A0D14" w:rsidP="003A0D14">
      <w:pPr>
        <w:widowControl w:val="0"/>
        <w:ind w:left="851" w:hanging="851"/>
        <w:contextualSpacing/>
        <w:jc w:val="both"/>
        <w:rPr>
          <w:rFonts w:eastAsia="Calibri"/>
          <w:sz w:val="24"/>
          <w:szCs w:val="24"/>
        </w:rPr>
      </w:pPr>
      <w:r w:rsidRPr="003A0D14">
        <w:rPr>
          <w:rFonts w:eastAsia="Calibri"/>
          <w:sz w:val="24"/>
          <w:szCs w:val="24"/>
        </w:rPr>
        <w:t>XIX.</w:t>
      </w:r>
      <w:r w:rsidRPr="003A0D14">
        <w:rPr>
          <w:rFonts w:eastAsia="Calibri"/>
          <w:sz w:val="24"/>
          <w:szCs w:val="24"/>
        </w:rPr>
        <w:tab/>
        <w:t xml:space="preserve">A pesar de lo indicado en considerandos anteriores, es necesario reconocer que el camino internacional (práctica y regulación) en materia de inversión sostenible está en una etapa de desarrollo, por lo que es prudente que el avance supervisor y regulatorio en el país sea claro y conciso. Esta apreciación se apoya en lo observado en los planes de organismos internacionales, como es el caso del Consejo de Estabilidad Financiera (FSB, por sus siglas en inglés), cuya hoja de ruta, enfocada en divulgación, datos, análisis de las vulnerabilidades y prácticas regulatorias y de supervisión, alcanzará sus objetivos de manera general entre los años 2022 y 2023. </w:t>
      </w:r>
    </w:p>
    <w:p w14:paraId="697AD4EA" w14:textId="77777777" w:rsidR="003A0D14" w:rsidRPr="003A0D14" w:rsidRDefault="003A0D14" w:rsidP="003A0D14">
      <w:pPr>
        <w:pStyle w:val="Prrafodelista"/>
        <w:ind w:left="851" w:hanging="851"/>
        <w:contextualSpacing/>
        <w:rPr>
          <w:rFonts w:eastAsia="Calibri"/>
        </w:rPr>
      </w:pPr>
    </w:p>
    <w:p w14:paraId="2846F957" w14:textId="77777777" w:rsidR="003A0D14" w:rsidRPr="003A0D14" w:rsidRDefault="003A0D14" w:rsidP="003A0D14">
      <w:pPr>
        <w:widowControl w:val="0"/>
        <w:ind w:left="851" w:hanging="851"/>
        <w:contextualSpacing/>
        <w:jc w:val="both"/>
        <w:rPr>
          <w:rFonts w:eastAsia="Calibri"/>
          <w:sz w:val="24"/>
          <w:szCs w:val="24"/>
        </w:rPr>
      </w:pPr>
      <w:r w:rsidRPr="003A0D14">
        <w:rPr>
          <w:rFonts w:eastAsia="Calibri"/>
          <w:sz w:val="24"/>
          <w:szCs w:val="24"/>
        </w:rPr>
        <w:t>XX.</w:t>
      </w:r>
      <w:r w:rsidRPr="003A0D14">
        <w:rPr>
          <w:rFonts w:eastAsia="Calibri"/>
          <w:sz w:val="24"/>
          <w:szCs w:val="24"/>
        </w:rPr>
        <w:tab/>
        <w:t>Al analizar la solicitud del artículo 5, inciso 2, de la Ley 10051, sobre el establecimiento de un mínimo de inversión destinada a valores de oferta pública temáticos, se tiene que, con datos de la SUGEVAL a marzo 2022, en el mercado local se han inscrito y están en circulación dos emisiones de instrumentos de renta fija en la categoría ASG, a saber:</w:t>
      </w:r>
    </w:p>
    <w:p w14:paraId="45D83A66" w14:textId="77777777" w:rsidR="003A0D14" w:rsidRPr="003A0D14" w:rsidRDefault="003A0D14" w:rsidP="003A0D14">
      <w:pPr>
        <w:ind w:left="1134" w:hanging="283"/>
        <w:contextualSpacing/>
        <w:jc w:val="both"/>
        <w:rPr>
          <w:rFonts w:eastAsia="Calibri"/>
          <w:sz w:val="24"/>
          <w:szCs w:val="24"/>
        </w:rPr>
      </w:pPr>
      <w:r w:rsidRPr="003A0D14">
        <w:rPr>
          <w:rFonts w:eastAsia="Calibri"/>
          <w:sz w:val="24"/>
          <w:szCs w:val="24"/>
        </w:rPr>
        <w:t>1.</w:t>
      </w:r>
      <w:r w:rsidRPr="003A0D14">
        <w:rPr>
          <w:rFonts w:eastAsia="Calibri"/>
          <w:sz w:val="24"/>
          <w:szCs w:val="24"/>
        </w:rPr>
        <w:tab/>
        <w:t>Bono serie G3V, emitido en 2020 por el Instituto Costarricense de Electricidad, con vencimiento en 2021 y un monto de emisión de ₡30.000 millones, de los cuales se encuentra en circulación un 48%.</w:t>
      </w:r>
    </w:p>
    <w:p w14:paraId="134532F3" w14:textId="77777777" w:rsidR="003A0D14" w:rsidRPr="003A0D14" w:rsidRDefault="003A0D14" w:rsidP="003A0D14">
      <w:pPr>
        <w:ind w:left="1134" w:hanging="283"/>
        <w:contextualSpacing/>
        <w:jc w:val="both"/>
        <w:rPr>
          <w:rFonts w:eastAsia="Calibri"/>
          <w:sz w:val="24"/>
          <w:szCs w:val="24"/>
        </w:rPr>
      </w:pPr>
      <w:r w:rsidRPr="003A0D14">
        <w:rPr>
          <w:rFonts w:eastAsia="Calibri"/>
          <w:sz w:val="24"/>
          <w:szCs w:val="24"/>
        </w:rPr>
        <w:t>2.</w:t>
      </w:r>
      <w:r w:rsidRPr="003A0D14">
        <w:rPr>
          <w:rFonts w:eastAsia="Calibri"/>
          <w:sz w:val="24"/>
          <w:szCs w:val="24"/>
        </w:rPr>
        <w:tab/>
        <w:t>Bono serie PB010, del Banco Popular y desarrollo Comunal, con año de emisión 2021 y vencimiento en 2026. El monto de la emisión asciende a ₡50.000 millones y se ha colocado un 51% de la emisión.</w:t>
      </w:r>
    </w:p>
    <w:p w14:paraId="60C04A39" w14:textId="77777777" w:rsidR="003A0D14" w:rsidRPr="003A0D14" w:rsidRDefault="003A0D14" w:rsidP="003A0D14">
      <w:pPr>
        <w:ind w:left="851" w:hanging="851"/>
        <w:contextualSpacing/>
        <w:jc w:val="both"/>
        <w:rPr>
          <w:rFonts w:eastAsia="Calibri"/>
          <w:sz w:val="24"/>
          <w:szCs w:val="24"/>
        </w:rPr>
      </w:pPr>
    </w:p>
    <w:p w14:paraId="4BEC6484" w14:textId="77777777" w:rsidR="003A0D14" w:rsidRPr="003A0D14" w:rsidRDefault="003A0D14" w:rsidP="003A0D14">
      <w:pPr>
        <w:ind w:left="851"/>
        <w:contextualSpacing/>
        <w:jc w:val="both"/>
        <w:rPr>
          <w:rFonts w:eastAsia="Calibri"/>
          <w:sz w:val="24"/>
          <w:szCs w:val="24"/>
        </w:rPr>
      </w:pPr>
      <w:r w:rsidRPr="003A0D14">
        <w:rPr>
          <w:rFonts w:eastAsia="Calibri"/>
          <w:sz w:val="24"/>
          <w:szCs w:val="24"/>
        </w:rPr>
        <w:t>Las emisiones de bonos inscritos en el Registro Nacional de Valores e Intermediarios en la categoría ASG (instrumentos citados antes) representan un 0,31% del total de las emisiones de bonos y un 0,22% en relación con el total en circulación a marzo del 2022.</w:t>
      </w:r>
    </w:p>
    <w:p w14:paraId="46D906CD" w14:textId="77777777" w:rsidR="003A0D14" w:rsidRPr="003A0D14" w:rsidRDefault="003A0D14" w:rsidP="003A0D14">
      <w:pPr>
        <w:ind w:left="851" w:hanging="851"/>
        <w:contextualSpacing/>
        <w:jc w:val="both"/>
        <w:rPr>
          <w:rFonts w:eastAsia="Calibri"/>
          <w:sz w:val="24"/>
          <w:szCs w:val="24"/>
        </w:rPr>
      </w:pPr>
    </w:p>
    <w:p w14:paraId="0EE6C110" w14:textId="77777777" w:rsidR="003A0D14" w:rsidRPr="003A0D14" w:rsidRDefault="003A0D14" w:rsidP="003A0D14">
      <w:pPr>
        <w:ind w:left="851"/>
        <w:contextualSpacing/>
        <w:jc w:val="both"/>
        <w:rPr>
          <w:rFonts w:eastAsia="Calibri"/>
          <w:sz w:val="24"/>
          <w:szCs w:val="24"/>
        </w:rPr>
      </w:pPr>
      <w:r w:rsidRPr="003A0D14">
        <w:rPr>
          <w:rFonts w:eastAsia="Calibri"/>
          <w:sz w:val="24"/>
          <w:szCs w:val="24"/>
        </w:rPr>
        <w:t>Adicionalmente, con datos de la SUGEVAL al mismo mes, se tiene que hay una tercera emisión inscrita, pero de renta variable, correspondiente a un fondo de desarrollo de proyectos, tipo ASG, de BN Sociedad Administradora de Fondos de Inversión, denominado Fondo de inversión de desarrollo de proyectos BN I, por un monto de $30.000.000, lo cual representa un 0,5% de la industria de fondos de inversión.</w:t>
      </w:r>
    </w:p>
    <w:p w14:paraId="45894D71" w14:textId="77777777" w:rsidR="003A0D14" w:rsidRPr="003A0D14" w:rsidRDefault="003A0D14" w:rsidP="003A0D14">
      <w:pPr>
        <w:ind w:left="851" w:hanging="851"/>
        <w:contextualSpacing/>
        <w:jc w:val="both"/>
        <w:rPr>
          <w:rFonts w:eastAsia="Calibri"/>
          <w:sz w:val="24"/>
          <w:szCs w:val="24"/>
        </w:rPr>
      </w:pPr>
    </w:p>
    <w:p w14:paraId="3F6CBE98" w14:textId="77777777" w:rsidR="003A0D14" w:rsidRPr="003A0D14" w:rsidRDefault="003A0D14" w:rsidP="003A0D14">
      <w:pPr>
        <w:ind w:left="851"/>
        <w:contextualSpacing/>
        <w:jc w:val="both"/>
        <w:rPr>
          <w:rFonts w:eastAsia="Calibri"/>
          <w:sz w:val="24"/>
          <w:szCs w:val="24"/>
        </w:rPr>
      </w:pPr>
      <w:r w:rsidRPr="003A0D14">
        <w:rPr>
          <w:rFonts w:eastAsia="Calibri"/>
          <w:sz w:val="24"/>
          <w:szCs w:val="24"/>
        </w:rPr>
        <w:t>Lo expuesto anteriormente evidencia una limitada oferta de valores en la categoría ambiental, social y de gobernanza, de manera que, dadas las condiciones actuales del mercado, establecer un mínimo de inversión en valores temáticos crearía un obstáculo para el eficiente uso de los recursos de los inversionistas y no se considera prudente.</w:t>
      </w:r>
    </w:p>
    <w:p w14:paraId="49D89F31" w14:textId="77777777" w:rsidR="003A0D14" w:rsidRPr="003A0D14" w:rsidRDefault="003A0D14" w:rsidP="003A0D14">
      <w:pPr>
        <w:ind w:left="851" w:hanging="851"/>
        <w:contextualSpacing/>
        <w:jc w:val="both"/>
        <w:rPr>
          <w:rFonts w:eastAsia="Calibri"/>
          <w:sz w:val="24"/>
          <w:szCs w:val="24"/>
        </w:rPr>
      </w:pPr>
    </w:p>
    <w:p w14:paraId="165FE9B4" w14:textId="77777777" w:rsidR="003A0D14" w:rsidRPr="003A0D14" w:rsidRDefault="003A0D14" w:rsidP="003A0D14">
      <w:pPr>
        <w:widowControl w:val="0"/>
        <w:ind w:left="851" w:hanging="851"/>
        <w:contextualSpacing/>
        <w:jc w:val="both"/>
        <w:rPr>
          <w:rFonts w:eastAsia="Calibri"/>
          <w:sz w:val="24"/>
          <w:szCs w:val="24"/>
        </w:rPr>
      </w:pPr>
      <w:r w:rsidRPr="003A0D14">
        <w:rPr>
          <w:rFonts w:eastAsia="Calibri"/>
          <w:sz w:val="24"/>
          <w:szCs w:val="24"/>
        </w:rPr>
        <w:t>XXI.</w:t>
      </w:r>
      <w:r w:rsidRPr="003A0D14">
        <w:rPr>
          <w:rFonts w:eastAsia="Calibri"/>
          <w:sz w:val="24"/>
          <w:szCs w:val="24"/>
        </w:rPr>
        <w:tab/>
        <w:t xml:space="preserve">Tareas tan relevantes como incorporar acciones que contribuyan al desarrollo sostenible en el proceso de toma de decisiones de las entidades financieras reguladas, requiere plantear ajustes en el marco de gestión de riesgos. Es por esto que, teniendo presente al Comité de Supervisión Bancaria de Basilea y su publicación de noviembre 2021 (actualmente en revisión de observaciones del proceso de consulta), </w:t>
      </w:r>
      <w:r w:rsidRPr="003A0D14">
        <w:rPr>
          <w:rFonts w:eastAsia="Calibri"/>
          <w:i/>
          <w:iCs/>
          <w:sz w:val="24"/>
          <w:szCs w:val="24"/>
        </w:rPr>
        <w:t>Principios para la gestión eficaz y supervisión de los riesgos financieros relacionados con el clima</w:t>
      </w:r>
      <w:r w:rsidRPr="003A0D14">
        <w:rPr>
          <w:rFonts w:eastAsia="Calibri"/>
          <w:sz w:val="24"/>
          <w:szCs w:val="24"/>
        </w:rPr>
        <w:t>, cuyo principio seis hace énfasis en que las entidades deben identificar, monitorear y gestionar todos los riesgos financieros relacionados con el clima que podrían afectar significativamente su condición financiera, es prudente complementar el marco normativo del CONASSIF para que el análisis de los riesgos considerados por las entidades contemple aquellos asociados a factores ambientales, sociales y de gobernanza.</w:t>
      </w:r>
    </w:p>
    <w:p w14:paraId="78955C21" w14:textId="77777777" w:rsidR="003A0D14" w:rsidRPr="003A0D14" w:rsidRDefault="003A0D14" w:rsidP="003A0D14">
      <w:pPr>
        <w:pStyle w:val="Prrafodelista"/>
        <w:ind w:left="851" w:hanging="851"/>
        <w:contextualSpacing/>
        <w:rPr>
          <w:rFonts w:eastAsia="Calibri"/>
        </w:rPr>
      </w:pPr>
    </w:p>
    <w:p w14:paraId="14FC519B" w14:textId="77777777" w:rsidR="003A0D14" w:rsidRPr="003A0D14" w:rsidRDefault="003A0D14" w:rsidP="003A0D14">
      <w:pPr>
        <w:widowControl w:val="0"/>
        <w:ind w:left="851" w:hanging="851"/>
        <w:contextualSpacing/>
        <w:jc w:val="both"/>
        <w:rPr>
          <w:rFonts w:eastAsia="Calibri"/>
          <w:sz w:val="24"/>
          <w:szCs w:val="24"/>
        </w:rPr>
      </w:pPr>
      <w:r w:rsidRPr="003A0D14">
        <w:rPr>
          <w:rFonts w:eastAsia="Calibri"/>
          <w:sz w:val="24"/>
          <w:szCs w:val="24"/>
        </w:rPr>
        <w:t>XXII.</w:t>
      </w:r>
      <w:r w:rsidRPr="003A0D14">
        <w:rPr>
          <w:rFonts w:eastAsia="Calibri"/>
          <w:sz w:val="24"/>
          <w:szCs w:val="24"/>
        </w:rPr>
        <w:tab/>
        <w:t xml:space="preserve">En adición al considerando anterior, el órgano de dirección y la alta gerencia juegan un papel fundamental en la incorporación de consideraciones ambientales, sociales y de gobernanza en el apetito de riesgo, las estrategias y los planes de las entidades financieras, así como de los vehículos de administración de recursos de terceros que éstas gestionan. Esto incluye la identificación de riesgos y oportunidades ASG y la evaluación del impacto real y potencial de estos riesgos y oportunidades en las estrategias y planes de las entidades. Por lo tanto, el rol del órgano de dirección y la alta gerencia en la ejecución de estos temas es esencial para alcanzar los objetivos que esboza la </w:t>
      </w:r>
      <w:r w:rsidRPr="003A0D14">
        <w:rPr>
          <w:rFonts w:eastAsia="Calibri"/>
          <w:sz w:val="24"/>
          <w:szCs w:val="24"/>
          <w:lang w:eastAsia="en-US"/>
        </w:rPr>
        <w:t>Ley 10051.</w:t>
      </w:r>
    </w:p>
    <w:p w14:paraId="2ED36547" w14:textId="77777777" w:rsidR="003A0D14" w:rsidRPr="003A0D14" w:rsidRDefault="003A0D14" w:rsidP="003A0D14">
      <w:pPr>
        <w:ind w:left="851" w:hanging="851"/>
        <w:contextualSpacing/>
        <w:rPr>
          <w:rFonts w:eastAsia="Calibri"/>
          <w:sz w:val="24"/>
          <w:szCs w:val="24"/>
          <w:highlight w:val="yellow"/>
        </w:rPr>
      </w:pPr>
    </w:p>
    <w:p w14:paraId="7EE11095" w14:textId="77777777" w:rsidR="003A0D14" w:rsidRPr="00263B00" w:rsidRDefault="003A0D14" w:rsidP="003A0D14">
      <w:pPr>
        <w:ind w:left="851" w:hanging="851"/>
        <w:contextualSpacing/>
        <w:rPr>
          <w:b/>
          <w:bCs/>
          <w:sz w:val="24"/>
          <w:szCs w:val="24"/>
        </w:rPr>
      </w:pPr>
      <w:r w:rsidRPr="00263B00">
        <w:rPr>
          <w:b/>
          <w:bCs/>
          <w:sz w:val="24"/>
          <w:szCs w:val="24"/>
        </w:rPr>
        <w:t>Consideraciones finales</w:t>
      </w:r>
    </w:p>
    <w:p w14:paraId="1B462263" w14:textId="77777777" w:rsidR="003A0D14" w:rsidRPr="00263B00" w:rsidRDefault="003A0D14" w:rsidP="003A0D14">
      <w:pPr>
        <w:ind w:left="851" w:hanging="851"/>
        <w:contextualSpacing/>
        <w:rPr>
          <w:b/>
          <w:bCs/>
          <w:sz w:val="24"/>
          <w:szCs w:val="24"/>
        </w:rPr>
      </w:pPr>
    </w:p>
    <w:p w14:paraId="6CA1E5FC" w14:textId="77777777" w:rsidR="003A0D14" w:rsidRPr="003A0D14" w:rsidRDefault="003A0D14" w:rsidP="003A0D14">
      <w:pPr>
        <w:widowControl w:val="0"/>
        <w:ind w:left="851" w:hanging="851"/>
        <w:contextualSpacing/>
        <w:jc w:val="both"/>
        <w:rPr>
          <w:rFonts w:eastAsia="Calibri"/>
          <w:sz w:val="24"/>
          <w:szCs w:val="24"/>
        </w:rPr>
      </w:pPr>
      <w:r w:rsidRPr="003A0D14">
        <w:rPr>
          <w:rFonts w:eastAsia="Calibri"/>
          <w:sz w:val="24"/>
          <w:szCs w:val="24"/>
        </w:rPr>
        <w:t>XXIII.</w:t>
      </w:r>
      <w:r w:rsidRPr="003A0D14">
        <w:rPr>
          <w:rFonts w:eastAsia="Calibri"/>
          <w:sz w:val="24"/>
          <w:szCs w:val="24"/>
        </w:rPr>
        <w:tab/>
        <w:t>En atención a lo establecido en el artículo 5, inciso 1, de la Ley 10051 y las consideraciones técnicas anteriores, es necesario reformar una serie de reglamentos que atañen a los sectores de intermediación financiera, pensiones, seguros y valores, en materia de inversión para el desarrollo sostenible mediante el uso de valores de oferta pública temáticos y de gestión de riesgos asociados a factores ambientales, sociales y de gobernanza.</w:t>
      </w:r>
    </w:p>
    <w:p w14:paraId="1A00F354" w14:textId="77777777" w:rsidR="003A0D14" w:rsidRPr="003A0D14" w:rsidRDefault="003A0D14" w:rsidP="003A0D14">
      <w:pPr>
        <w:pStyle w:val="Prrafodelista"/>
        <w:ind w:left="851" w:hanging="851"/>
        <w:contextualSpacing/>
        <w:rPr>
          <w:rFonts w:eastAsia="Calibri"/>
        </w:rPr>
      </w:pPr>
    </w:p>
    <w:p w14:paraId="31839DE1" w14:textId="77777777" w:rsidR="003A0D14" w:rsidRPr="003A0D14" w:rsidRDefault="003A0D14" w:rsidP="003A0D14">
      <w:pPr>
        <w:widowControl w:val="0"/>
        <w:tabs>
          <w:tab w:val="left" w:pos="709"/>
        </w:tabs>
        <w:ind w:left="851" w:hanging="851"/>
        <w:contextualSpacing/>
        <w:jc w:val="both"/>
        <w:rPr>
          <w:rFonts w:eastAsia="Calibri"/>
          <w:sz w:val="24"/>
          <w:szCs w:val="24"/>
          <w:lang w:eastAsia="en-US"/>
        </w:rPr>
      </w:pPr>
      <w:r w:rsidRPr="003A0D14">
        <w:rPr>
          <w:rFonts w:eastAsia="Calibri"/>
          <w:sz w:val="24"/>
          <w:szCs w:val="24"/>
        </w:rPr>
        <w:lastRenderedPageBreak/>
        <w:t>XXIV.</w:t>
      </w:r>
      <w:r w:rsidRPr="003A0D14">
        <w:rPr>
          <w:rFonts w:eastAsia="Calibri"/>
          <w:sz w:val="24"/>
          <w:szCs w:val="24"/>
        </w:rPr>
        <w:tab/>
        <w:t xml:space="preserve"> El CONASSIF, en los artículos 8 y 6 de las actas de las sesiones 1721-2022 y 1722-2022, celebradas el 21 y 28 de marzo del 2022, respectivamente, remitió en consulta a las entidades financieras reguladas y sus distintas agrupaciones, por un máximo de diez días hábiles, modificaciones a los siguientes reglamentos, en atención al artículo 5, inciso 1, de la Ley 10051:</w:t>
      </w:r>
    </w:p>
    <w:p w14:paraId="214C9BB4" w14:textId="77777777" w:rsidR="003A0D14" w:rsidRPr="003A0D14" w:rsidRDefault="003A0D14" w:rsidP="003A0D14">
      <w:pPr>
        <w:tabs>
          <w:tab w:val="left" w:pos="709"/>
        </w:tabs>
        <w:ind w:left="1134" w:hanging="283"/>
        <w:contextualSpacing/>
        <w:jc w:val="both"/>
        <w:rPr>
          <w:rFonts w:eastAsia="Calibri"/>
          <w:i/>
          <w:iCs/>
          <w:sz w:val="24"/>
          <w:szCs w:val="24"/>
        </w:rPr>
      </w:pPr>
      <w:r w:rsidRPr="003A0D14">
        <w:rPr>
          <w:rFonts w:eastAsia="Calibri"/>
          <w:sz w:val="24"/>
          <w:szCs w:val="24"/>
        </w:rPr>
        <w:t>•</w:t>
      </w:r>
      <w:r w:rsidRPr="003A0D14">
        <w:rPr>
          <w:rFonts w:eastAsia="Calibri"/>
          <w:sz w:val="24"/>
          <w:szCs w:val="24"/>
        </w:rPr>
        <w:tab/>
      </w:r>
      <w:r w:rsidRPr="003A0D14">
        <w:rPr>
          <w:rFonts w:eastAsia="Calibri"/>
          <w:i/>
          <w:iCs/>
          <w:sz w:val="24"/>
          <w:szCs w:val="24"/>
        </w:rPr>
        <w:t>Reglamento sobre Administración Integral de Riesgos.</w:t>
      </w:r>
    </w:p>
    <w:p w14:paraId="12FE0F80" w14:textId="77777777" w:rsidR="003A0D14" w:rsidRPr="003A0D14" w:rsidRDefault="003A0D14" w:rsidP="003A0D14">
      <w:pPr>
        <w:tabs>
          <w:tab w:val="left" w:pos="709"/>
        </w:tabs>
        <w:ind w:left="1134" w:hanging="283"/>
        <w:contextualSpacing/>
        <w:jc w:val="both"/>
        <w:rPr>
          <w:rFonts w:eastAsia="Calibri"/>
          <w:i/>
          <w:iCs/>
          <w:sz w:val="24"/>
          <w:szCs w:val="24"/>
        </w:rPr>
      </w:pPr>
      <w:r w:rsidRPr="003A0D14">
        <w:rPr>
          <w:rFonts w:eastAsia="Calibri"/>
          <w:i/>
          <w:iCs/>
          <w:sz w:val="24"/>
          <w:szCs w:val="24"/>
        </w:rPr>
        <w:t>•</w:t>
      </w:r>
      <w:r w:rsidRPr="003A0D14">
        <w:rPr>
          <w:rFonts w:eastAsia="Calibri"/>
          <w:i/>
          <w:iCs/>
          <w:sz w:val="24"/>
          <w:szCs w:val="24"/>
        </w:rPr>
        <w:tab/>
        <w:t>Reglamento de Gestión de Activos.</w:t>
      </w:r>
    </w:p>
    <w:p w14:paraId="37A56370" w14:textId="77777777" w:rsidR="003A0D14" w:rsidRPr="003A0D14" w:rsidRDefault="003A0D14" w:rsidP="003A0D14">
      <w:pPr>
        <w:tabs>
          <w:tab w:val="left" w:pos="709"/>
        </w:tabs>
        <w:ind w:left="1134" w:hanging="283"/>
        <w:contextualSpacing/>
        <w:jc w:val="both"/>
        <w:rPr>
          <w:rFonts w:eastAsia="Calibri"/>
          <w:i/>
          <w:iCs/>
          <w:sz w:val="24"/>
          <w:szCs w:val="24"/>
        </w:rPr>
      </w:pPr>
      <w:r w:rsidRPr="003A0D14">
        <w:rPr>
          <w:rFonts w:eastAsia="Calibri"/>
          <w:i/>
          <w:iCs/>
          <w:sz w:val="24"/>
          <w:szCs w:val="24"/>
        </w:rPr>
        <w:t>•</w:t>
      </w:r>
      <w:r w:rsidRPr="003A0D14">
        <w:rPr>
          <w:rFonts w:eastAsia="Calibri"/>
          <w:i/>
          <w:iCs/>
          <w:sz w:val="24"/>
          <w:szCs w:val="24"/>
        </w:rPr>
        <w:tab/>
        <w:t>Reglamento de Riesgos.</w:t>
      </w:r>
    </w:p>
    <w:p w14:paraId="5EE49388" w14:textId="77777777" w:rsidR="003A0D14" w:rsidRPr="003A0D14" w:rsidRDefault="003A0D14" w:rsidP="003A0D14">
      <w:pPr>
        <w:tabs>
          <w:tab w:val="left" w:pos="709"/>
        </w:tabs>
        <w:ind w:left="1134" w:hanging="283"/>
        <w:contextualSpacing/>
        <w:jc w:val="both"/>
        <w:rPr>
          <w:rFonts w:eastAsia="Calibri"/>
          <w:i/>
          <w:iCs/>
          <w:sz w:val="24"/>
          <w:szCs w:val="24"/>
        </w:rPr>
      </w:pPr>
      <w:r w:rsidRPr="003A0D14">
        <w:rPr>
          <w:rFonts w:eastAsia="Calibri"/>
          <w:i/>
          <w:iCs/>
          <w:sz w:val="24"/>
          <w:szCs w:val="24"/>
        </w:rPr>
        <w:t>•</w:t>
      </w:r>
      <w:r w:rsidRPr="003A0D14">
        <w:rPr>
          <w:rFonts w:eastAsia="Calibri"/>
          <w:i/>
          <w:iCs/>
          <w:sz w:val="24"/>
          <w:szCs w:val="24"/>
        </w:rPr>
        <w:tab/>
        <w:t>Reglamento sobre la Solvencia de Entidades de Seguros y Reaseguros.</w:t>
      </w:r>
    </w:p>
    <w:p w14:paraId="01FCAC11" w14:textId="77777777" w:rsidR="003A0D14" w:rsidRPr="003A0D14" w:rsidRDefault="003A0D14" w:rsidP="003A0D14">
      <w:pPr>
        <w:tabs>
          <w:tab w:val="left" w:pos="709"/>
        </w:tabs>
        <w:ind w:left="1134" w:hanging="283"/>
        <w:contextualSpacing/>
        <w:jc w:val="both"/>
        <w:rPr>
          <w:rFonts w:eastAsia="Calibri"/>
          <w:i/>
          <w:iCs/>
          <w:sz w:val="24"/>
          <w:szCs w:val="24"/>
        </w:rPr>
      </w:pPr>
      <w:r w:rsidRPr="003A0D14">
        <w:rPr>
          <w:rFonts w:eastAsia="Calibri"/>
          <w:i/>
          <w:iCs/>
          <w:sz w:val="24"/>
          <w:szCs w:val="24"/>
        </w:rPr>
        <w:t>•</w:t>
      </w:r>
      <w:r w:rsidRPr="003A0D14">
        <w:rPr>
          <w:rFonts w:eastAsia="Calibri"/>
          <w:i/>
          <w:iCs/>
          <w:sz w:val="24"/>
          <w:szCs w:val="24"/>
        </w:rPr>
        <w:tab/>
        <w:t>Reglamento sobre los Sistemas de Gestión de Riesgos y Control Interno aplicables a Entidades Aseguradoras y Reaseguradoras.</w:t>
      </w:r>
    </w:p>
    <w:p w14:paraId="5561AB9E" w14:textId="77777777" w:rsidR="003A0D14" w:rsidRPr="003A0D14" w:rsidRDefault="003A0D14" w:rsidP="003A0D14">
      <w:pPr>
        <w:tabs>
          <w:tab w:val="left" w:pos="709"/>
        </w:tabs>
        <w:ind w:left="1134" w:hanging="283"/>
        <w:contextualSpacing/>
        <w:jc w:val="both"/>
        <w:rPr>
          <w:rFonts w:eastAsia="Calibri"/>
          <w:i/>
          <w:iCs/>
          <w:sz w:val="24"/>
          <w:szCs w:val="24"/>
        </w:rPr>
      </w:pPr>
      <w:r w:rsidRPr="003A0D14">
        <w:rPr>
          <w:rFonts w:eastAsia="Calibri"/>
          <w:i/>
          <w:iCs/>
          <w:sz w:val="24"/>
          <w:szCs w:val="24"/>
        </w:rPr>
        <w:t>•</w:t>
      </w:r>
      <w:r w:rsidRPr="003A0D14">
        <w:rPr>
          <w:rFonts w:eastAsia="Calibri"/>
          <w:i/>
          <w:iCs/>
          <w:sz w:val="24"/>
          <w:szCs w:val="24"/>
        </w:rPr>
        <w:tab/>
        <w:t>Reglamento General sobre Sociedades Administradoras y Fondos de Inversión.</w:t>
      </w:r>
    </w:p>
    <w:p w14:paraId="1F01A305" w14:textId="77777777" w:rsidR="003A0D14" w:rsidRPr="003A0D14" w:rsidRDefault="003A0D14" w:rsidP="003A0D14">
      <w:pPr>
        <w:tabs>
          <w:tab w:val="left" w:pos="709"/>
        </w:tabs>
        <w:ind w:left="1134" w:hanging="283"/>
        <w:contextualSpacing/>
        <w:jc w:val="both"/>
        <w:rPr>
          <w:rFonts w:eastAsia="Calibri"/>
          <w:i/>
          <w:iCs/>
          <w:sz w:val="24"/>
          <w:szCs w:val="24"/>
        </w:rPr>
      </w:pPr>
      <w:r w:rsidRPr="003A0D14">
        <w:rPr>
          <w:rFonts w:eastAsia="Calibri"/>
          <w:i/>
          <w:iCs/>
          <w:sz w:val="24"/>
          <w:szCs w:val="24"/>
        </w:rPr>
        <w:t>•</w:t>
      </w:r>
      <w:r w:rsidRPr="003A0D14">
        <w:rPr>
          <w:rFonts w:eastAsia="Calibri"/>
          <w:i/>
          <w:iCs/>
          <w:sz w:val="24"/>
          <w:szCs w:val="24"/>
        </w:rPr>
        <w:tab/>
        <w:t>Reglamento de Gestión de Riesgos.</w:t>
      </w:r>
    </w:p>
    <w:p w14:paraId="1CD7C066" w14:textId="77777777" w:rsidR="003A0D14" w:rsidRPr="005D198A" w:rsidRDefault="003A0D14" w:rsidP="003A0D14">
      <w:pPr>
        <w:pStyle w:val="Prrafodelista"/>
        <w:ind w:left="851" w:hanging="851"/>
        <w:contextualSpacing/>
        <w:rPr>
          <w:rFonts w:eastAsia="Calibri"/>
          <w:sz w:val="22"/>
          <w:szCs w:val="22"/>
        </w:rPr>
      </w:pPr>
    </w:p>
    <w:p w14:paraId="1BFCCAC5" w14:textId="77777777" w:rsidR="003A0D14" w:rsidRPr="005D198A" w:rsidRDefault="003A0D14" w:rsidP="003A0D14">
      <w:pPr>
        <w:contextualSpacing/>
        <w:rPr>
          <w:b/>
          <w:bCs/>
          <w:sz w:val="24"/>
          <w:szCs w:val="24"/>
        </w:rPr>
      </w:pPr>
      <w:bookmarkStart w:id="1" w:name="_Hlk95992475"/>
      <w:r w:rsidRPr="005D198A">
        <w:rPr>
          <w:b/>
          <w:bCs/>
          <w:sz w:val="24"/>
          <w:szCs w:val="24"/>
        </w:rPr>
        <w:t>dispuso en firme:</w:t>
      </w:r>
    </w:p>
    <w:p w14:paraId="4BFBA681" w14:textId="77777777" w:rsidR="003A0D14" w:rsidRPr="005D198A" w:rsidRDefault="003A0D14" w:rsidP="003A0D14">
      <w:pPr>
        <w:contextualSpacing/>
        <w:rPr>
          <w:b/>
          <w:bCs/>
          <w:sz w:val="22"/>
          <w:szCs w:val="22"/>
        </w:rPr>
      </w:pPr>
    </w:p>
    <w:p w14:paraId="102F92E2" w14:textId="77777777" w:rsidR="003A0D14" w:rsidRPr="00263B00" w:rsidRDefault="003A0D14" w:rsidP="003A0D14">
      <w:pPr>
        <w:widowControl w:val="0"/>
        <w:ind w:left="426" w:hanging="426"/>
        <w:contextualSpacing/>
        <w:jc w:val="both"/>
        <w:rPr>
          <w:b/>
          <w:bCs/>
          <w:sz w:val="24"/>
          <w:szCs w:val="24"/>
        </w:rPr>
      </w:pPr>
      <w:r w:rsidRPr="00263B00">
        <w:rPr>
          <w:b/>
          <w:bCs/>
          <w:sz w:val="24"/>
          <w:szCs w:val="24"/>
        </w:rPr>
        <w:t>I.</w:t>
      </w:r>
      <w:r w:rsidRPr="00263B00">
        <w:rPr>
          <w:b/>
          <w:bCs/>
          <w:sz w:val="24"/>
          <w:szCs w:val="24"/>
        </w:rPr>
        <w:tab/>
        <w:t xml:space="preserve">Modificar el Acuerdo SUGEF 2-10, </w:t>
      </w:r>
      <w:r w:rsidRPr="00263B00">
        <w:rPr>
          <w:b/>
          <w:bCs/>
          <w:i/>
          <w:iCs/>
          <w:sz w:val="24"/>
          <w:szCs w:val="24"/>
        </w:rPr>
        <w:t>Reglamento sobre Administración Integral de Riesgos</w:t>
      </w:r>
      <w:r w:rsidRPr="00263B00">
        <w:rPr>
          <w:b/>
          <w:bCs/>
          <w:sz w:val="24"/>
          <w:szCs w:val="24"/>
        </w:rPr>
        <w:t>, aprobado por el Consejo Nacional de Supervisión del Sistema Financiero, mediante artículo 9 del acta de la sesión 862-2010, del 25 de junio del 2010.</w:t>
      </w:r>
    </w:p>
    <w:p w14:paraId="0C22B0C9" w14:textId="77777777" w:rsidR="003A0D14" w:rsidRPr="00263B00" w:rsidRDefault="003A0D14" w:rsidP="003A0D14">
      <w:pPr>
        <w:contextualSpacing/>
        <w:rPr>
          <w:b/>
          <w:bCs/>
          <w:sz w:val="24"/>
          <w:szCs w:val="24"/>
        </w:rPr>
      </w:pPr>
    </w:p>
    <w:p w14:paraId="29E4C9D7" w14:textId="77777777" w:rsidR="003A0D14" w:rsidRPr="00263B00" w:rsidRDefault="003A0D14" w:rsidP="003A0D14">
      <w:pPr>
        <w:widowControl w:val="0"/>
        <w:ind w:left="709" w:hanging="283"/>
        <w:contextualSpacing/>
        <w:jc w:val="both"/>
        <w:rPr>
          <w:b/>
          <w:bCs/>
          <w:sz w:val="24"/>
          <w:szCs w:val="24"/>
        </w:rPr>
      </w:pPr>
      <w:r w:rsidRPr="00263B00">
        <w:rPr>
          <w:b/>
          <w:bCs/>
          <w:sz w:val="24"/>
          <w:szCs w:val="24"/>
        </w:rPr>
        <w:t>1.</w:t>
      </w:r>
      <w:r w:rsidRPr="00263B00">
        <w:rPr>
          <w:b/>
          <w:bCs/>
          <w:sz w:val="24"/>
          <w:szCs w:val="24"/>
        </w:rPr>
        <w:tab/>
        <w:t>Adicionar el inciso k), en el Artículo 3. Definiciones</w:t>
      </w:r>
      <w:r w:rsidRPr="00263B00">
        <w:rPr>
          <w:b/>
          <w:bCs/>
          <w:i/>
          <w:iCs/>
          <w:sz w:val="24"/>
          <w:szCs w:val="24"/>
        </w:rPr>
        <w:t xml:space="preserve">, </w:t>
      </w:r>
      <w:r w:rsidRPr="00263B00">
        <w:rPr>
          <w:b/>
          <w:bCs/>
          <w:sz w:val="24"/>
          <w:szCs w:val="24"/>
        </w:rPr>
        <w:t>y correr la numeración, de conformidad con el siguiente texto:</w:t>
      </w:r>
    </w:p>
    <w:p w14:paraId="49200722" w14:textId="77777777" w:rsidR="003A0D14" w:rsidRPr="00263B00" w:rsidRDefault="003A0D14" w:rsidP="003A0D14">
      <w:pPr>
        <w:tabs>
          <w:tab w:val="left" w:pos="851"/>
        </w:tabs>
        <w:ind w:left="709"/>
        <w:contextualSpacing/>
        <w:rPr>
          <w:sz w:val="24"/>
          <w:szCs w:val="24"/>
        </w:rPr>
      </w:pPr>
      <w:r w:rsidRPr="00263B00">
        <w:rPr>
          <w:sz w:val="24"/>
          <w:szCs w:val="24"/>
        </w:rPr>
        <w:t>“</w:t>
      </w:r>
      <w:r w:rsidRPr="00263B00">
        <w:rPr>
          <w:i/>
          <w:iCs/>
          <w:sz w:val="24"/>
          <w:szCs w:val="24"/>
        </w:rPr>
        <w:t>[…]</w:t>
      </w:r>
    </w:p>
    <w:p w14:paraId="6CBE8EDF" w14:textId="77777777" w:rsidR="003A0D14" w:rsidRPr="00263B00" w:rsidRDefault="003A0D14" w:rsidP="003A0D14">
      <w:pPr>
        <w:tabs>
          <w:tab w:val="left" w:pos="851"/>
        </w:tabs>
        <w:ind w:left="709"/>
        <w:contextualSpacing/>
        <w:jc w:val="both"/>
        <w:rPr>
          <w:sz w:val="24"/>
          <w:szCs w:val="24"/>
        </w:rPr>
      </w:pPr>
      <w:r w:rsidRPr="00263B00">
        <w:rPr>
          <w:b/>
          <w:bCs/>
          <w:i/>
          <w:iCs/>
          <w:sz w:val="24"/>
          <w:szCs w:val="24"/>
        </w:rPr>
        <w:t xml:space="preserve">k) Factores ambientales, sociales y de gobernanza: </w:t>
      </w:r>
      <w:r w:rsidRPr="00263B00">
        <w:rPr>
          <w:i/>
          <w:iCs/>
          <w:sz w:val="24"/>
          <w:szCs w:val="24"/>
        </w:rPr>
        <w:t>conjunto de factores ambientales, sociales y de gobernanza, considerados por las organizaciones al administrar sus operaciones y los inversionistas al realizar inversiones, con respecto a los riesgos, impactos y oportunidades relacionados con, pero sin limitarse a: i) cuestiones ambientales: cambios potenciales o reales en el entorno físico o natural; ii) aspectos sociales: cambios potenciales o reales en la comunidad y los trabajadores; y iii) gobernanza: estructuras y procesos de gobierno corporativo mediante los cuales las organizaciones son dirigidas y controladas, incluida la gobernanza de políticas y procedimientos ambientales y sociales.</w:t>
      </w:r>
    </w:p>
    <w:p w14:paraId="657BF3F3" w14:textId="77777777" w:rsidR="003A0D14" w:rsidRPr="00263B00" w:rsidRDefault="003A0D14" w:rsidP="003A0D14">
      <w:pPr>
        <w:tabs>
          <w:tab w:val="left" w:pos="851"/>
        </w:tabs>
        <w:ind w:left="709"/>
        <w:contextualSpacing/>
        <w:jc w:val="both"/>
        <w:rPr>
          <w:sz w:val="24"/>
          <w:szCs w:val="24"/>
        </w:rPr>
      </w:pPr>
      <w:r w:rsidRPr="00263B00">
        <w:rPr>
          <w:i/>
          <w:iCs/>
          <w:sz w:val="24"/>
          <w:szCs w:val="24"/>
        </w:rPr>
        <w:t>[…]”</w:t>
      </w:r>
    </w:p>
    <w:p w14:paraId="5F4AA3B1" w14:textId="77777777" w:rsidR="003A0D14" w:rsidRPr="00263B00" w:rsidRDefault="003A0D14" w:rsidP="003A0D14">
      <w:pPr>
        <w:tabs>
          <w:tab w:val="left" w:pos="851"/>
        </w:tabs>
        <w:ind w:left="426"/>
        <w:contextualSpacing/>
        <w:jc w:val="both"/>
        <w:rPr>
          <w:sz w:val="24"/>
          <w:szCs w:val="24"/>
        </w:rPr>
      </w:pPr>
    </w:p>
    <w:p w14:paraId="4D76A527" w14:textId="77777777" w:rsidR="003A0D14" w:rsidRPr="00263B00" w:rsidRDefault="003A0D14" w:rsidP="003A0D14">
      <w:pPr>
        <w:widowControl w:val="0"/>
        <w:ind w:left="709" w:hanging="283"/>
        <w:contextualSpacing/>
        <w:jc w:val="both"/>
        <w:rPr>
          <w:b/>
          <w:bCs/>
          <w:sz w:val="24"/>
          <w:szCs w:val="24"/>
        </w:rPr>
      </w:pPr>
      <w:r w:rsidRPr="00263B00">
        <w:rPr>
          <w:b/>
          <w:bCs/>
          <w:sz w:val="24"/>
          <w:szCs w:val="24"/>
        </w:rPr>
        <w:t>2.</w:t>
      </w:r>
      <w:r w:rsidRPr="00263B00">
        <w:rPr>
          <w:b/>
          <w:bCs/>
          <w:sz w:val="24"/>
          <w:szCs w:val="24"/>
        </w:rPr>
        <w:tab/>
        <w:t>Adicionar al Artículo 7. Políticas para la administración integral de riesgos, el siguiente texto:</w:t>
      </w:r>
    </w:p>
    <w:p w14:paraId="5BAA9991" w14:textId="77777777" w:rsidR="003A0D14" w:rsidRPr="00263B00" w:rsidRDefault="003A0D14" w:rsidP="003A0D14">
      <w:pPr>
        <w:tabs>
          <w:tab w:val="left" w:pos="851"/>
        </w:tabs>
        <w:ind w:left="709"/>
        <w:contextualSpacing/>
        <w:jc w:val="both"/>
        <w:rPr>
          <w:sz w:val="24"/>
          <w:szCs w:val="24"/>
        </w:rPr>
      </w:pPr>
      <w:r w:rsidRPr="00263B00">
        <w:rPr>
          <w:sz w:val="24"/>
          <w:szCs w:val="24"/>
        </w:rPr>
        <w:t>“</w:t>
      </w:r>
      <w:r w:rsidRPr="00263B00">
        <w:rPr>
          <w:i/>
          <w:iCs/>
          <w:sz w:val="24"/>
          <w:szCs w:val="24"/>
        </w:rPr>
        <w:t>[…]</w:t>
      </w:r>
    </w:p>
    <w:p w14:paraId="3AD225B2" w14:textId="77777777" w:rsidR="003A0D14" w:rsidRPr="00263B00" w:rsidRDefault="003A0D14" w:rsidP="003A0D14">
      <w:pPr>
        <w:ind w:left="709"/>
        <w:contextualSpacing/>
        <w:jc w:val="both"/>
        <w:rPr>
          <w:i/>
          <w:iCs/>
          <w:sz w:val="24"/>
          <w:szCs w:val="24"/>
        </w:rPr>
      </w:pPr>
      <w:r w:rsidRPr="00263B00">
        <w:rPr>
          <w:i/>
          <w:iCs/>
          <w:sz w:val="24"/>
          <w:szCs w:val="24"/>
        </w:rPr>
        <w:t>Asimismo, la entidad supervisada, debe establecer políticas de gestión de inversiones sostenibles o responsables, procurando que parte de los recursos se pueda canalizar a actividades económicas o productivas que apoyen el desarrollo sostenible, mejoramiento del ambiente, así como establecer límites o prohibiciones para las inversiones que fomentan la fabricación de armamento o cualquier producto que pueda afectar negativamente a las personas y su entorno.”</w:t>
      </w:r>
    </w:p>
    <w:p w14:paraId="2AFCE539" w14:textId="77777777" w:rsidR="003A0D14" w:rsidRPr="00263B00" w:rsidRDefault="003A0D14" w:rsidP="003A0D14">
      <w:pPr>
        <w:pStyle w:val="Prrafodelista"/>
        <w:ind w:left="426"/>
        <w:contextualSpacing/>
        <w:rPr>
          <w:b/>
          <w:bCs/>
        </w:rPr>
      </w:pPr>
    </w:p>
    <w:p w14:paraId="42F28117" w14:textId="77777777" w:rsidR="003A0D14" w:rsidRPr="00263B00" w:rsidRDefault="003A0D14" w:rsidP="003A0D14">
      <w:pPr>
        <w:widowControl w:val="0"/>
        <w:ind w:left="709" w:hanging="283"/>
        <w:contextualSpacing/>
        <w:jc w:val="both"/>
        <w:rPr>
          <w:b/>
          <w:bCs/>
          <w:sz w:val="24"/>
          <w:szCs w:val="24"/>
        </w:rPr>
      </w:pPr>
      <w:r w:rsidRPr="00263B00">
        <w:rPr>
          <w:b/>
          <w:bCs/>
          <w:sz w:val="24"/>
          <w:szCs w:val="24"/>
        </w:rPr>
        <w:t>3.</w:t>
      </w:r>
      <w:r w:rsidRPr="00263B00">
        <w:rPr>
          <w:b/>
          <w:bCs/>
          <w:sz w:val="24"/>
          <w:szCs w:val="24"/>
        </w:rPr>
        <w:tab/>
        <w:t xml:space="preserve">Modificar la redacción del inciso b), del Artículo 9. Responsabilidades del Órgano </w:t>
      </w:r>
      <w:r w:rsidRPr="00263B00">
        <w:rPr>
          <w:b/>
          <w:bCs/>
          <w:sz w:val="24"/>
          <w:szCs w:val="24"/>
        </w:rPr>
        <w:lastRenderedPageBreak/>
        <w:t>de Dirección, para que se lea de la siguiente manera:</w:t>
      </w:r>
    </w:p>
    <w:p w14:paraId="6C4F30D6" w14:textId="77777777" w:rsidR="003A0D14" w:rsidRPr="00263B00" w:rsidRDefault="003A0D14" w:rsidP="003A0D14">
      <w:pPr>
        <w:pStyle w:val="Prrafodelista"/>
        <w:ind w:left="709"/>
        <w:contextualSpacing/>
        <w:rPr>
          <w:i/>
          <w:iCs/>
        </w:rPr>
      </w:pPr>
      <w:r w:rsidRPr="00263B00">
        <w:rPr>
          <w:i/>
          <w:iCs/>
        </w:rPr>
        <w:t>“[…]</w:t>
      </w:r>
    </w:p>
    <w:p w14:paraId="351167A5" w14:textId="77777777" w:rsidR="003A0D14" w:rsidRPr="00263B00" w:rsidRDefault="003A0D14" w:rsidP="003A0D14">
      <w:pPr>
        <w:ind w:left="709"/>
        <w:contextualSpacing/>
        <w:jc w:val="both"/>
        <w:rPr>
          <w:i/>
          <w:iCs/>
          <w:sz w:val="24"/>
          <w:szCs w:val="24"/>
        </w:rPr>
      </w:pPr>
      <w:r w:rsidRPr="00263B00">
        <w:rPr>
          <w:i/>
          <w:iCs/>
          <w:sz w:val="24"/>
          <w:szCs w:val="24"/>
        </w:rPr>
        <w:t>b) Aprobar las estrategias y políticas sobre la administración integral de riesgos, así como los límites de tolerancia a los riesgos que son relevantes para la entidad financiera. Los límites, estrategias y políticas deben revisarse y actualizarse con la frecuencia que determine el mismo Órgano de Dirección, y cuando lo ameriten los cambios en el entorno o en el perfil de riesgo de la entidad. El análisis de los riesgos considerados debe contemplar aquellos asociados a factores ambientales, sociales y de gobernanza.</w:t>
      </w:r>
    </w:p>
    <w:p w14:paraId="77C1FFFA" w14:textId="0F41C19B" w:rsidR="003A0D14" w:rsidRPr="00263B00" w:rsidRDefault="003A0D14" w:rsidP="003A0D14">
      <w:pPr>
        <w:ind w:left="709"/>
        <w:contextualSpacing/>
        <w:rPr>
          <w:i/>
          <w:iCs/>
          <w:sz w:val="24"/>
          <w:szCs w:val="24"/>
        </w:rPr>
      </w:pPr>
      <w:r w:rsidRPr="00263B00">
        <w:rPr>
          <w:i/>
          <w:iCs/>
          <w:sz w:val="24"/>
          <w:szCs w:val="24"/>
        </w:rPr>
        <w:t>[…]”</w:t>
      </w:r>
    </w:p>
    <w:p w14:paraId="68860E42" w14:textId="77777777" w:rsidR="003A0D14" w:rsidRPr="00263B00" w:rsidRDefault="003A0D14" w:rsidP="003A0D14">
      <w:pPr>
        <w:ind w:left="426"/>
        <w:contextualSpacing/>
        <w:rPr>
          <w:b/>
          <w:bCs/>
          <w:i/>
          <w:iCs/>
          <w:sz w:val="24"/>
          <w:szCs w:val="24"/>
        </w:rPr>
      </w:pPr>
    </w:p>
    <w:p w14:paraId="79DDDE4D" w14:textId="77777777" w:rsidR="003A0D14" w:rsidRPr="00263B00" w:rsidRDefault="003A0D14" w:rsidP="003A0D14">
      <w:pPr>
        <w:widowControl w:val="0"/>
        <w:ind w:left="709" w:hanging="283"/>
        <w:contextualSpacing/>
        <w:jc w:val="both"/>
        <w:rPr>
          <w:b/>
          <w:bCs/>
          <w:sz w:val="24"/>
          <w:szCs w:val="24"/>
        </w:rPr>
      </w:pPr>
      <w:r w:rsidRPr="00263B00">
        <w:rPr>
          <w:b/>
          <w:bCs/>
          <w:sz w:val="24"/>
          <w:szCs w:val="24"/>
        </w:rPr>
        <w:t>4.</w:t>
      </w:r>
      <w:r w:rsidRPr="00263B00">
        <w:rPr>
          <w:b/>
          <w:bCs/>
          <w:sz w:val="24"/>
          <w:szCs w:val="24"/>
        </w:rPr>
        <w:tab/>
        <w:t>Adicionar a la Sección de TRANSITORIOS, el Transitorio XII, de conformidad con el siguiente texto:</w:t>
      </w:r>
    </w:p>
    <w:p w14:paraId="4FA6387E" w14:textId="77777777" w:rsidR="003A0D14" w:rsidRPr="00263B00" w:rsidRDefault="003A0D14" w:rsidP="003A0D14">
      <w:pPr>
        <w:ind w:left="709"/>
        <w:contextualSpacing/>
        <w:jc w:val="both"/>
        <w:rPr>
          <w:b/>
          <w:bCs/>
          <w:i/>
          <w:iCs/>
          <w:sz w:val="24"/>
          <w:szCs w:val="24"/>
        </w:rPr>
      </w:pPr>
      <w:r w:rsidRPr="00263B00">
        <w:rPr>
          <w:b/>
          <w:bCs/>
          <w:i/>
          <w:iCs/>
          <w:sz w:val="24"/>
          <w:szCs w:val="24"/>
        </w:rPr>
        <w:t>“Transitorio XII</w:t>
      </w:r>
    </w:p>
    <w:p w14:paraId="36D211D1" w14:textId="77777777" w:rsidR="003A0D14" w:rsidRPr="00263B00" w:rsidRDefault="003A0D14" w:rsidP="003A0D14">
      <w:pPr>
        <w:ind w:left="709"/>
        <w:contextualSpacing/>
        <w:jc w:val="both"/>
        <w:rPr>
          <w:i/>
          <w:iCs/>
          <w:sz w:val="24"/>
          <w:szCs w:val="24"/>
        </w:rPr>
      </w:pPr>
      <w:r w:rsidRPr="00263B00">
        <w:rPr>
          <w:i/>
          <w:iCs/>
          <w:sz w:val="24"/>
          <w:szCs w:val="24"/>
        </w:rPr>
        <w:t>Las entidades tendrán un plazo de 18 meses para hacer los ajustes necesarios en las políticas de inversión a efecto de incluir lo correspondiente a la gestión de inversiones sostenibles o responsables y, en las políticas relacionadas con el análisis de los riesgos asociados a factores ambientales, sociales y de gobernanza.”</w:t>
      </w:r>
    </w:p>
    <w:p w14:paraId="340242D0" w14:textId="77777777" w:rsidR="003A0D14" w:rsidRPr="00263B00" w:rsidRDefault="003A0D14" w:rsidP="003A0D14">
      <w:pPr>
        <w:ind w:left="993"/>
        <w:contextualSpacing/>
        <w:jc w:val="both"/>
        <w:rPr>
          <w:i/>
          <w:iCs/>
          <w:sz w:val="24"/>
          <w:szCs w:val="24"/>
        </w:rPr>
      </w:pPr>
    </w:p>
    <w:p w14:paraId="55C9EEC4" w14:textId="1EEA614D" w:rsidR="003A0D14" w:rsidRPr="00263B00" w:rsidRDefault="003A0D14" w:rsidP="003A0D14">
      <w:pPr>
        <w:widowControl w:val="0"/>
        <w:ind w:left="426" w:hanging="426"/>
        <w:contextualSpacing/>
        <w:jc w:val="both"/>
        <w:rPr>
          <w:b/>
          <w:bCs/>
          <w:sz w:val="24"/>
          <w:szCs w:val="24"/>
        </w:rPr>
      </w:pPr>
      <w:r w:rsidRPr="00263B00">
        <w:rPr>
          <w:b/>
          <w:bCs/>
          <w:sz w:val="24"/>
          <w:szCs w:val="24"/>
        </w:rPr>
        <w:t>II.</w:t>
      </w:r>
      <w:r w:rsidRPr="00263B00">
        <w:rPr>
          <w:b/>
          <w:bCs/>
          <w:sz w:val="24"/>
          <w:szCs w:val="24"/>
        </w:rPr>
        <w:tab/>
        <w:t xml:space="preserve">Modificar el </w:t>
      </w:r>
      <w:r w:rsidRPr="00263B00">
        <w:rPr>
          <w:b/>
          <w:bCs/>
          <w:i/>
          <w:iCs/>
          <w:sz w:val="24"/>
          <w:szCs w:val="24"/>
        </w:rPr>
        <w:t xml:space="preserve">Reglamento de Gestión de Activos- </w:t>
      </w:r>
      <w:r w:rsidRPr="00263B00">
        <w:rPr>
          <w:b/>
          <w:bCs/>
          <w:sz w:val="24"/>
          <w:szCs w:val="24"/>
        </w:rPr>
        <w:t xml:space="preserve">SUPEN, aprobado por el Consejo Nacional de Supervisión del Sistema Financiero, mediante </w:t>
      </w:r>
      <w:r w:rsidR="002A4AE4">
        <w:rPr>
          <w:b/>
          <w:bCs/>
          <w:sz w:val="24"/>
          <w:szCs w:val="24"/>
        </w:rPr>
        <w:t>a</w:t>
      </w:r>
      <w:r w:rsidRPr="00263B00">
        <w:rPr>
          <w:b/>
          <w:bCs/>
          <w:sz w:val="24"/>
          <w:szCs w:val="24"/>
        </w:rPr>
        <w:t>rtículo 5 del acta de la sesión 1452-2018, celebrada el 16 de octubre del 2018.</w:t>
      </w:r>
    </w:p>
    <w:p w14:paraId="3ED9C0CD" w14:textId="77777777" w:rsidR="003A0D14" w:rsidRPr="00263B00" w:rsidRDefault="003A0D14" w:rsidP="003A0D14">
      <w:pPr>
        <w:pStyle w:val="Prrafodelista"/>
        <w:ind w:left="360"/>
        <w:contextualSpacing/>
        <w:rPr>
          <w:b/>
          <w:bCs/>
        </w:rPr>
      </w:pPr>
    </w:p>
    <w:p w14:paraId="42C64C05" w14:textId="77777777" w:rsidR="003A0D14" w:rsidRPr="00263B00" w:rsidRDefault="003A0D14" w:rsidP="003A0D14">
      <w:pPr>
        <w:widowControl w:val="0"/>
        <w:ind w:left="993" w:hanging="285"/>
        <w:contextualSpacing/>
        <w:jc w:val="both"/>
        <w:rPr>
          <w:b/>
          <w:bCs/>
          <w:sz w:val="24"/>
          <w:szCs w:val="24"/>
        </w:rPr>
      </w:pPr>
      <w:r w:rsidRPr="00263B00">
        <w:rPr>
          <w:b/>
          <w:bCs/>
          <w:sz w:val="24"/>
          <w:szCs w:val="24"/>
        </w:rPr>
        <w:t>1.</w:t>
      </w:r>
      <w:r w:rsidRPr="00263B00">
        <w:rPr>
          <w:b/>
          <w:bCs/>
          <w:sz w:val="24"/>
          <w:szCs w:val="24"/>
        </w:rPr>
        <w:tab/>
        <w:t xml:space="preserve">Modificar la redacción del inciso j), del Artículo 6. Política de inversiones, para que se lea según se indica a continuación: </w:t>
      </w:r>
    </w:p>
    <w:p w14:paraId="4C5F2399" w14:textId="77777777" w:rsidR="003A0D14" w:rsidRPr="00263B00" w:rsidRDefault="003A0D14" w:rsidP="003A0D14">
      <w:pPr>
        <w:ind w:left="709" w:hanging="1"/>
        <w:contextualSpacing/>
        <w:jc w:val="both"/>
        <w:rPr>
          <w:i/>
          <w:iCs/>
          <w:sz w:val="24"/>
          <w:szCs w:val="24"/>
        </w:rPr>
      </w:pPr>
      <w:r w:rsidRPr="00263B00">
        <w:rPr>
          <w:i/>
          <w:iCs/>
          <w:sz w:val="24"/>
          <w:szCs w:val="24"/>
        </w:rPr>
        <w:t>“[…]</w:t>
      </w:r>
    </w:p>
    <w:p w14:paraId="78E57EDE" w14:textId="77777777" w:rsidR="003A0D14" w:rsidRPr="00263B00" w:rsidRDefault="003A0D14" w:rsidP="003A0D14">
      <w:pPr>
        <w:ind w:left="709"/>
        <w:contextualSpacing/>
        <w:jc w:val="both"/>
        <w:rPr>
          <w:i/>
          <w:iCs/>
          <w:sz w:val="24"/>
          <w:szCs w:val="24"/>
        </w:rPr>
      </w:pPr>
      <w:r w:rsidRPr="00263B00">
        <w:rPr>
          <w:i/>
          <w:iCs/>
          <w:sz w:val="24"/>
          <w:szCs w:val="24"/>
        </w:rPr>
        <w:t>j. Establecer políticas de gestión de inversiones sostenibles o responsables, procurando que parte de los recursos se pueda canalizar a actividades económicas o productivas que apoyen el desarrollo sostenible, mejoramiento del ambiente, servicios o productos dirigidos a beneficiar las condiciones de los adultos mayores, así como establecer límites o prohibiciones para las inversiones que fomentan la fabricación de armamento o cualquier producto que pueda afectar negativamente a las personas y su entorno. Todo lo anterior, bajo principios éticos y buscando siempre el logro del objetivo de rentabilidad y riesgo del fondo.</w:t>
      </w:r>
    </w:p>
    <w:p w14:paraId="17410622" w14:textId="77777777" w:rsidR="003A0D14" w:rsidRPr="00263B00" w:rsidRDefault="003A0D14" w:rsidP="003A0D14">
      <w:pPr>
        <w:ind w:left="709" w:hanging="1"/>
        <w:contextualSpacing/>
        <w:jc w:val="both"/>
        <w:rPr>
          <w:i/>
          <w:iCs/>
          <w:sz w:val="24"/>
          <w:szCs w:val="24"/>
        </w:rPr>
      </w:pPr>
      <w:r w:rsidRPr="00263B00">
        <w:rPr>
          <w:i/>
          <w:iCs/>
          <w:sz w:val="24"/>
          <w:szCs w:val="24"/>
        </w:rPr>
        <w:t>[…]”</w:t>
      </w:r>
    </w:p>
    <w:p w14:paraId="34950704" w14:textId="77777777" w:rsidR="003A0D14" w:rsidRPr="00263B00" w:rsidRDefault="003A0D14" w:rsidP="003A0D14">
      <w:pPr>
        <w:ind w:left="709" w:hanging="283"/>
        <w:contextualSpacing/>
        <w:jc w:val="both"/>
        <w:rPr>
          <w:i/>
          <w:iCs/>
          <w:sz w:val="24"/>
          <w:szCs w:val="24"/>
        </w:rPr>
      </w:pPr>
    </w:p>
    <w:p w14:paraId="543AF4ED" w14:textId="77777777" w:rsidR="003A0D14" w:rsidRPr="00263B00" w:rsidRDefault="003A0D14" w:rsidP="003A0D14">
      <w:pPr>
        <w:widowControl w:val="0"/>
        <w:ind w:left="709" w:hanging="283"/>
        <w:contextualSpacing/>
        <w:jc w:val="both"/>
        <w:rPr>
          <w:b/>
          <w:bCs/>
          <w:sz w:val="24"/>
          <w:szCs w:val="24"/>
        </w:rPr>
      </w:pPr>
      <w:r w:rsidRPr="00263B00">
        <w:rPr>
          <w:b/>
          <w:bCs/>
          <w:sz w:val="24"/>
          <w:szCs w:val="24"/>
        </w:rPr>
        <w:t>2.</w:t>
      </w:r>
      <w:r w:rsidRPr="00263B00">
        <w:rPr>
          <w:b/>
          <w:bCs/>
          <w:sz w:val="24"/>
          <w:szCs w:val="24"/>
        </w:rPr>
        <w:tab/>
        <w:t>Adicionar a la Sección de TRANSITORIOS, el Transitorio V, de conformidad con el siguiente texto:</w:t>
      </w:r>
    </w:p>
    <w:p w14:paraId="74D30515" w14:textId="77777777" w:rsidR="003A0D14" w:rsidRPr="00263B00" w:rsidRDefault="003A0D14" w:rsidP="003A0D14">
      <w:pPr>
        <w:ind w:left="709"/>
        <w:contextualSpacing/>
        <w:jc w:val="both"/>
        <w:rPr>
          <w:b/>
          <w:bCs/>
          <w:i/>
          <w:iCs/>
          <w:sz w:val="24"/>
          <w:szCs w:val="24"/>
        </w:rPr>
      </w:pPr>
      <w:r w:rsidRPr="00263B00">
        <w:rPr>
          <w:b/>
          <w:bCs/>
          <w:i/>
          <w:iCs/>
          <w:sz w:val="24"/>
          <w:szCs w:val="24"/>
        </w:rPr>
        <w:t>“Transitorio V</w:t>
      </w:r>
    </w:p>
    <w:p w14:paraId="5E76E06D" w14:textId="77777777" w:rsidR="003A0D14" w:rsidRPr="00263B00" w:rsidRDefault="003A0D14" w:rsidP="003A0D14">
      <w:pPr>
        <w:ind w:left="709"/>
        <w:contextualSpacing/>
        <w:jc w:val="both"/>
        <w:rPr>
          <w:i/>
          <w:iCs/>
          <w:sz w:val="24"/>
          <w:szCs w:val="24"/>
        </w:rPr>
      </w:pPr>
      <w:r w:rsidRPr="00263B00">
        <w:rPr>
          <w:i/>
          <w:iCs/>
          <w:sz w:val="24"/>
          <w:szCs w:val="24"/>
        </w:rPr>
        <w:t>Las entidades supervisadas tendrán un plazo de 18 meses para hacer los ajustes necesarios en las políticas de inversión a efecto de incluir lo correspondiente a la gestión de inversiones sostenibles o responsables.”</w:t>
      </w:r>
    </w:p>
    <w:p w14:paraId="118CA1B9" w14:textId="77777777" w:rsidR="003A0D14" w:rsidRPr="00263B00" w:rsidRDefault="003A0D14" w:rsidP="003A0D14">
      <w:pPr>
        <w:ind w:left="1068"/>
        <w:contextualSpacing/>
        <w:jc w:val="both"/>
        <w:rPr>
          <w:i/>
          <w:iCs/>
          <w:sz w:val="24"/>
          <w:szCs w:val="24"/>
        </w:rPr>
      </w:pPr>
    </w:p>
    <w:p w14:paraId="5B24EDCD" w14:textId="582A28CA" w:rsidR="003A0D14" w:rsidRPr="00263B00" w:rsidRDefault="003A0D14" w:rsidP="003A0D14">
      <w:pPr>
        <w:widowControl w:val="0"/>
        <w:ind w:left="426" w:hanging="426"/>
        <w:contextualSpacing/>
        <w:jc w:val="both"/>
        <w:rPr>
          <w:b/>
          <w:bCs/>
          <w:sz w:val="24"/>
          <w:szCs w:val="24"/>
        </w:rPr>
      </w:pPr>
      <w:r w:rsidRPr="00263B00">
        <w:rPr>
          <w:b/>
          <w:bCs/>
          <w:sz w:val="24"/>
          <w:szCs w:val="24"/>
        </w:rPr>
        <w:t>III.</w:t>
      </w:r>
      <w:r w:rsidRPr="00263B00">
        <w:rPr>
          <w:b/>
          <w:bCs/>
          <w:sz w:val="24"/>
          <w:szCs w:val="24"/>
        </w:rPr>
        <w:tab/>
        <w:t xml:space="preserve">Modificar el </w:t>
      </w:r>
      <w:r w:rsidRPr="00263B00">
        <w:rPr>
          <w:b/>
          <w:bCs/>
          <w:i/>
          <w:iCs/>
          <w:sz w:val="24"/>
          <w:szCs w:val="24"/>
        </w:rPr>
        <w:t>Reglamento de Riesgos</w:t>
      </w:r>
      <w:r w:rsidRPr="00263B00">
        <w:rPr>
          <w:b/>
          <w:bCs/>
          <w:sz w:val="24"/>
          <w:szCs w:val="24"/>
        </w:rPr>
        <w:t xml:space="preserve">- SUPEN, aprobado por el Consejo Nacional de Supervisión del Sistema Financiero, mediante </w:t>
      </w:r>
      <w:r w:rsidR="00D9002E">
        <w:rPr>
          <w:b/>
          <w:bCs/>
          <w:sz w:val="24"/>
          <w:szCs w:val="24"/>
        </w:rPr>
        <w:t>a</w:t>
      </w:r>
      <w:r w:rsidRPr="00263B00">
        <w:rPr>
          <w:b/>
          <w:bCs/>
          <w:sz w:val="24"/>
          <w:szCs w:val="24"/>
        </w:rPr>
        <w:t>rtículo 7 del acta de la sesión 1332-</w:t>
      </w:r>
      <w:r w:rsidRPr="00263B00">
        <w:rPr>
          <w:b/>
          <w:bCs/>
          <w:sz w:val="24"/>
          <w:szCs w:val="24"/>
        </w:rPr>
        <w:lastRenderedPageBreak/>
        <w:t>2017, celebrada el 16 de mayo del 2017.</w:t>
      </w:r>
    </w:p>
    <w:p w14:paraId="32C3C922" w14:textId="77777777" w:rsidR="003A0D14" w:rsidRPr="00263B00" w:rsidRDefault="003A0D14" w:rsidP="003A0D14">
      <w:pPr>
        <w:pStyle w:val="Prrafodelista"/>
        <w:ind w:left="360"/>
        <w:contextualSpacing/>
        <w:rPr>
          <w:b/>
          <w:bCs/>
        </w:rPr>
      </w:pPr>
    </w:p>
    <w:p w14:paraId="1C07FA44" w14:textId="47B0A6C9" w:rsidR="003A0D14" w:rsidRPr="00263B00" w:rsidRDefault="003A0D14" w:rsidP="003A0D14">
      <w:pPr>
        <w:widowControl w:val="0"/>
        <w:ind w:left="993" w:hanging="284"/>
        <w:contextualSpacing/>
        <w:jc w:val="both"/>
        <w:rPr>
          <w:b/>
          <w:bCs/>
          <w:sz w:val="24"/>
          <w:szCs w:val="24"/>
        </w:rPr>
      </w:pPr>
      <w:r w:rsidRPr="00263B00">
        <w:rPr>
          <w:b/>
          <w:bCs/>
          <w:sz w:val="24"/>
          <w:szCs w:val="24"/>
        </w:rPr>
        <w:t>1.</w:t>
      </w:r>
      <w:r w:rsidRPr="00263B00">
        <w:rPr>
          <w:b/>
          <w:bCs/>
          <w:sz w:val="24"/>
          <w:szCs w:val="24"/>
        </w:rPr>
        <w:tab/>
        <w:t>Adicionar al Artículo 3. Definiciones, respetando el orden alfabético, el siguiente texto:</w:t>
      </w:r>
    </w:p>
    <w:p w14:paraId="7918BF2B" w14:textId="77777777" w:rsidR="003A0D14" w:rsidRPr="00263B00" w:rsidRDefault="003A0D14" w:rsidP="003A0D14">
      <w:pPr>
        <w:ind w:left="709"/>
        <w:contextualSpacing/>
        <w:jc w:val="both"/>
        <w:rPr>
          <w:i/>
          <w:iCs/>
          <w:sz w:val="24"/>
          <w:szCs w:val="24"/>
        </w:rPr>
      </w:pPr>
      <w:r w:rsidRPr="00263B00">
        <w:rPr>
          <w:i/>
          <w:iCs/>
          <w:sz w:val="24"/>
          <w:szCs w:val="24"/>
        </w:rPr>
        <w:t>“[…]</w:t>
      </w:r>
    </w:p>
    <w:p w14:paraId="456AC4DD" w14:textId="77777777" w:rsidR="003A0D14" w:rsidRPr="00263B00" w:rsidRDefault="003A0D14" w:rsidP="003A0D14">
      <w:pPr>
        <w:ind w:left="709"/>
        <w:contextualSpacing/>
        <w:jc w:val="both"/>
        <w:rPr>
          <w:i/>
          <w:iCs/>
          <w:sz w:val="24"/>
          <w:szCs w:val="24"/>
        </w:rPr>
      </w:pPr>
      <w:r w:rsidRPr="00263B00">
        <w:rPr>
          <w:b/>
          <w:bCs/>
          <w:i/>
          <w:iCs/>
          <w:sz w:val="24"/>
          <w:szCs w:val="24"/>
        </w:rPr>
        <w:t>Factores ambientales, sociales y de gobernanza:</w:t>
      </w:r>
      <w:r w:rsidRPr="00263B00">
        <w:rPr>
          <w:i/>
          <w:iCs/>
          <w:sz w:val="24"/>
          <w:szCs w:val="24"/>
        </w:rPr>
        <w:t xml:space="preserve"> conjunto de factores ambientales, sociales y de gobernanza, considerados por las organizaciones al administrar sus operaciones y los inversionistas al realizar inversiones, con respecto a los riesgos, impactos y oportunidades relacionados con, pero sin limitarse a: i) cuestiones ambientales: cambios potenciales o reales en el entorno físico o natural; ii) aspectos sociales: cambios potenciales o reales en la comunidad y los trabajadores; y iii) gobernanza: estructuras y procesos de gobierno corporativo mediante los cuales las organizaciones son dirigidas y controladas, incluida la gobernanza de políticas y procedimientos ambientales y sociales.</w:t>
      </w:r>
    </w:p>
    <w:p w14:paraId="2C0F3006" w14:textId="77777777" w:rsidR="003A0D14" w:rsidRPr="00263B00" w:rsidRDefault="003A0D14" w:rsidP="003A0D14">
      <w:pPr>
        <w:ind w:left="709"/>
        <w:contextualSpacing/>
        <w:jc w:val="both"/>
        <w:rPr>
          <w:i/>
          <w:iCs/>
          <w:sz w:val="24"/>
          <w:szCs w:val="24"/>
        </w:rPr>
      </w:pPr>
      <w:r w:rsidRPr="00263B00">
        <w:rPr>
          <w:i/>
          <w:iCs/>
          <w:sz w:val="24"/>
          <w:szCs w:val="24"/>
        </w:rPr>
        <w:t>[…]”</w:t>
      </w:r>
    </w:p>
    <w:p w14:paraId="5DB21292" w14:textId="77777777" w:rsidR="003A0D14" w:rsidRPr="00263B00" w:rsidRDefault="003A0D14" w:rsidP="003A0D14">
      <w:pPr>
        <w:ind w:left="709"/>
        <w:contextualSpacing/>
        <w:jc w:val="both"/>
        <w:rPr>
          <w:i/>
          <w:iCs/>
          <w:sz w:val="24"/>
          <w:szCs w:val="24"/>
        </w:rPr>
      </w:pPr>
    </w:p>
    <w:p w14:paraId="137F5451" w14:textId="77777777" w:rsidR="003A0D14" w:rsidRPr="00263B00" w:rsidRDefault="003A0D14" w:rsidP="003A0D14">
      <w:pPr>
        <w:widowControl w:val="0"/>
        <w:ind w:left="993" w:hanging="284"/>
        <w:contextualSpacing/>
        <w:jc w:val="both"/>
        <w:rPr>
          <w:b/>
          <w:bCs/>
          <w:sz w:val="24"/>
          <w:szCs w:val="24"/>
        </w:rPr>
      </w:pPr>
      <w:r w:rsidRPr="00263B00">
        <w:rPr>
          <w:b/>
          <w:bCs/>
          <w:sz w:val="24"/>
          <w:szCs w:val="24"/>
        </w:rPr>
        <w:t>2.</w:t>
      </w:r>
      <w:r w:rsidRPr="00263B00">
        <w:rPr>
          <w:b/>
          <w:bCs/>
          <w:sz w:val="24"/>
          <w:szCs w:val="24"/>
        </w:rPr>
        <w:tab/>
        <w:t xml:space="preserve">Modificar la redacción del inciso j) del Artículo 6. Responsabilidades del Órgano de Dirección, para que se lea según se indica a continuación: </w:t>
      </w:r>
    </w:p>
    <w:p w14:paraId="16D262C6" w14:textId="77777777" w:rsidR="003A0D14" w:rsidRPr="00263B00" w:rsidRDefault="003A0D14" w:rsidP="003A0D14">
      <w:pPr>
        <w:ind w:left="709"/>
        <w:contextualSpacing/>
        <w:jc w:val="both"/>
        <w:rPr>
          <w:i/>
          <w:iCs/>
          <w:sz w:val="24"/>
          <w:szCs w:val="24"/>
        </w:rPr>
      </w:pPr>
      <w:r w:rsidRPr="00263B00">
        <w:rPr>
          <w:i/>
          <w:iCs/>
          <w:sz w:val="24"/>
          <w:szCs w:val="24"/>
        </w:rPr>
        <w:t>“[…]</w:t>
      </w:r>
    </w:p>
    <w:p w14:paraId="2023F403" w14:textId="77777777" w:rsidR="003A0D14" w:rsidRPr="00263B00" w:rsidRDefault="003A0D14" w:rsidP="005E6906">
      <w:pPr>
        <w:pStyle w:val="Prrafodelista"/>
        <w:ind w:left="709"/>
        <w:contextualSpacing/>
        <w:jc w:val="both"/>
        <w:rPr>
          <w:i/>
          <w:iCs/>
        </w:rPr>
      </w:pPr>
      <w:r w:rsidRPr="00263B00">
        <w:rPr>
          <w:i/>
          <w:iCs/>
        </w:rPr>
        <w:t>j) Aprobar y mantener una estrategia de gestión de riesgo y políticas asociadas, cerciorándose de su difusión e implementación por las restantes áreas de la organización. Además, debe velar por el desarrollo de una Cultura de Riesgo, la formulación de la Declaración de Apetito de Riesgo y la definición de las responsabilidades sobre la gestión y control de riesgos. El análisis de los riesgos considerados debe contemplar aquellos asociados a factores ambientales, sociales y de gobernanza.</w:t>
      </w:r>
    </w:p>
    <w:p w14:paraId="1E54E5C4" w14:textId="77777777" w:rsidR="003A0D14" w:rsidRPr="00263B00" w:rsidRDefault="003A0D14" w:rsidP="003A0D14">
      <w:pPr>
        <w:ind w:left="709"/>
        <w:contextualSpacing/>
        <w:jc w:val="both"/>
        <w:rPr>
          <w:i/>
          <w:iCs/>
          <w:sz w:val="24"/>
          <w:szCs w:val="24"/>
        </w:rPr>
      </w:pPr>
      <w:r w:rsidRPr="00263B00">
        <w:rPr>
          <w:i/>
          <w:iCs/>
          <w:sz w:val="24"/>
          <w:szCs w:val="24"/>
        </w:rPr>
        <w:t>[…]”</w:t>
      </w:r>
    </w:p>
    <w:p w14:paraId="39FF5F67" w14:textId="77777777" w:rsidR="003A0D14" w:rsidRPr="00263B00" w:rsidRDefault="003A0D14" w:rsidP="003A0D14">
      <w:pPr>
        <w:ind w:left="709"/>
        <w:contextualSpacing/>
        <w:jc w:val="both"/>
        <w:rPr>
          <w:i/>
          <w:iCs/>
          <w:sz w:val="24"/>
          <w:szCs w:val="24"/>
        </w:rPr>
      </w:pPr>
    </w:p>
    <w:p w14:paraId="14FBCC09" w14:textId="77777777" w:rsidR="003A0D14" w:rsidRPr="00263B00" w:rsidRDefault="003A0D14" w:rsidP="003A0D14">
      <w:pPr>
        <w:widowControl w:val="0"/>
        <w:ind w:left="993" w:hanging="284"/>
        <w:contextualSpacing/>
        <w:jc w:val="both"/>
        <w:rPr>
          <w:b/>
          <w:bCs/>
          <w:sz w:val="24"/>
          <w:szCs w:val="24"/>
        </w:rPr>
      </w:pPr>
      <w:r w:rsidRPr="00263B00">
        <w:rPr>
          <w:b/>
          <w:bCs/>
          <w:sz w:val="24"/>
          <w:szCs w:val="24"/>
        </w:rPr>
        <w:t>3.</w:t>
      </w:r>
      <w:r w:rsidRPr="00263B00">
        <w:rPr>
          <w:b/>
          <w:bCs/>
          <w:sz w:val="24"/>
          <w:szCs w:val="24"/>
        </w:rPr>
        <w:tab/>
        <w:t>Adicionar a la Sección de TRANSITORIOS, el Transitorio III, de conformidad con el siguiente texto:</w:t>
      </w:r>
    </w:p>
    <w:p w14:paraId="1ACF320A" w14:textId="77777777" w:rsidR="003A0D14" w:rsidRPr="00263B00" w:rsidRDefault="003A0D14" w:rsidP="003A0D14">
      <w:pPr>
        <w:ind w:left="709"/>
        <w:contextualSpacing/>
        <w:jc w:val="both"/>
        <w:rPr>
          <w:b/>
          <w:bCs/>
          <w:i/>
          <w:iCs/>
          <w:sz w:val="24"/>
          <w:szCs w:val="24"/>
        </w:rPr>
      </w:pPr>
      <w:r w:rsidRPr="00263B00">
        <w:rPr>
          <w:b/>
          <w:bCs/>
          <w:i/>
          <w:iCs/>
          <w:sz w:val="24"/>
          <w:szCs w:val="24"/>
        </w:rPr>
        <w:t>“Transitorio III</w:t>
      </w:r>
    </w:p>
    <w:p w14:paraId="19BF6906" w14:textId="77777777" w:rsidR="003A0D14" w:rsidRPr="00263B00" w:rsidRDefault="003A0D14" w:rsidP="003A0D14">
      <w:pPr>
        <w:ind w:left="709"/>
        <w:contextualSpacing/>
        <w:jc w:val="both"/>
        <w:rPr>
          <w:i/>
          <w:iCs/>
          <w:sz w:val="24"/>
          <w:szCs w:val="24"/>
        </w:rPr>
      </w:pPr>
      <w:r w:rsidRPr="00263B00">
        <w:rPr>
          <w:i/>
          <w:iCs/>
          <w:sz w:val="24"/>
          <w:szCs w:val="24"/>
        </w:rPr>
        <w:t>Las entidades supervisadas tendrán un plazo de 18 meses para hacer los ajustes necesarios en las políticas relacionadas con el análisis de los riesgos asociados a factores ambientales, sociales y de gobernanza.”</w:t>
      </w:r>
    </w:p>
    <w:p w14:paraId="5F2CD848" w14:textId="77777777" w:rsidR="003A0D14" w:rsidRPr="00263B00" w:rsidRDefault="003A0D14" w:rsidP="003A0D14">
      <w:pPr>
        <w:ind w:left="709"/>
        <w:contextualSpacing/>
        <w:jc w:val="both"/>
        <w:rPr>
          <w:b/>
          <w:bCs/>
          <w:i/>
          <w:iCs/>
          <w:sz w:val="24"/>
          <w:szCs w:val="24"/>
        </w:rPr>
      </w:pPr>
    </w:p>
    <w:p w14:paraId="56721879" w14:textId="01BF98EA" w:rsidR="003A0D14" w:rsidRPr="00263B00" w:rsidRDefault="003A0D14" w:rsidP="003A0D14">
      <w:pPr>
        <w:widowControl w:val="0"/>
        <w:ind w:left="426" w:hanging="426"/>
        <w:contextualSpacing/>
        <w:jc w:val="both"/>
        <w:rPr>
          <w:b/>
          <w:bCs/>
          <w:sz w:val="24"/>
          <w:szCs w:val="24"/>
          <w:lang w:eastAsia="en-US"/>
        </w:rPr>
      </w:pPr>
      <w:r w:rsidRPr="00263B00">
        <w:rPr>
          <w:b/>
          <w:bCs/>
          <w:color w:val="000000"/>
          <w:sz w:val="24"/>
          <w:szCs w:val="24"/>
        </w:rPr>
        <w:t>IV.</w:t>
      </w:r>
      <w:r w:rsidRPr="00263B00">
        <w:rPr>
          <w:b/>
          <w:bCs/>
          <w:color w:val="000000"/>
          <w:sz w:val="24"/>
          <w:szCs w:val="24"/>
        </w:rPr>
        <w:tab/>
        <w:t xml:space="preserve">Modificar el </w:t>
      </w:r>
      <w:r w:rsidRPr="00263B00">
        <w:rPr>
          <w:b/>
          <w:bCs/>
          <w:i/>
          <w:iCs/>
          <w:color w:val="000000"/>
          <w:sz w:val="24"/>
          <w:szCs w:val="24"/>
        </w:rPr>
        <w:t>Reglamento sobre la solvencia de entidades de seguros y reaseguros</w:t>
      </w:r>
      <w:r w:rsidRPr="00263B00">
        <w:rPr>
          <w:b/>
          <w:bCs/>
          <w:color w:val="000000"/>
          <w:sz w:val="24"/>
          <w:szCs w:val="24"/>
        </w:rPr>
        <w:t xml:space="preserve">, Acuerdo SUGESE 02-13, </w:t>
      </w:r>
      <w:r w:rsidRPr="00263B00">
        <w:rPr>
          <w:b/>
          <w:bCs/>
          <w:sz w:val="24"/>
          <w:szCs w:val="24"/>
        </w:rPr>
        <w:t xml:space="preserve">aprobado por el Consejo Nacional de Supervisión del Sistema Financiero, mediante </w:t>
      </w:r>
      <w:r w:rsidR="00142E53">
        <w:rPr>
          <w:b/>
          <w:bCs/>
          <w:sz w:val="24"/>
          <w:szCs w:val="24"/>
        </w:rPr>
        <w:t>a</w:t>
      </w:r>
      <w:r w:rsidRPr="00263B00">
        <w:rPr>
          <w:b/>
          <w:bCs/>
          <w:sz w:val="24"/>
          <w:szCs w:val="24"/>
        </w:rPr>
        <w:t>rtículo 8 del acta de la sesión 1050-2013 celebrada el 2 de julio del 2013.</w:t>
      </w:r>
    </w:p>
    <w:p w14:paraId="7221BD62" w14:textId="77777777" w:rsidR="003A0D14" w:rsidRPr="003A0D14" w:rsidRDefault="003A0D14" w:rsidP="003A0D14">
      <w:pPr>
        <w:pStyle w:val="Prrafodelista"/>
        <w:ind w:left="426" w:hanging="426"/>
        <w:contextualSpacing/>
        <w:rPr>
          <w:rFonts w:eastAsia="Calibri"/>
          <w:b/>
          <w:bCs/>
          <w:lang w:eastAsia="es-CR"/>
        </w:rPr>
      </w:pPr>
    </w:p>
    <w:p w14:paraId="136B5A3B" w14:textId="77777777" w:rsidR="003A0D14" w:rsidRPr="00263B00" w:rsidRDefault="003A0D14" w:rsidP="003A0D14">
      <w:pPr>
        <w:widowControl w:val="0"/>
        <w:ind w:left="993" w:hanging="284"/>
        <w:contextualSpacing/>
        <w:jc w:val="both"/>
        <w:rPr>
          <w:b/>
          <w:bCs/>
          <w:sz w:val="24"/>
          <w:szCs w:val="24"/>
        </w:rPr>
      </w:pPr>
      <w:r w:rsidRPr="00263B00">
        <w:rPr>
          <w:b/>
          <w:bCs/>
          <w:sz w:val="24"/>
          <w:szCs w:val="24"/>
        </w:rPr>
        <w:t>1.</w:t>
      </w:r>
      <w:r w:rsidRPr="00263B00">
        <w:rPr>
          <w:b/>
          <w:bCs/>
          <w:sz w:val="24"/>
          <w:szCs w:val="24"/>
        </w:rPr>
        <w:tab/>
        <w:t>Adicionar el inciso c), y correr la numeración, en el Artículo 25. Políticas de inversión, de conformidad con el siguiente texto:</w:t>
      </w:r>
    </w:p>
    <w:p w14:paraId="18714634" w14:textId="77777777" w:rsidR="003A0D14" w:rsidRPr="00263B00" w:rsidRDefault="003A0D14" w:rsidP="003A0D14">
      <w:pPr>
        <w:ind w:left="709"/>
        <w:contextualSpacing/>
        <w:jc w:val="both"/>
        <w:rPr>
          <w:i/>
          <w:iCs/>
          <w:sz w:val="24"/>
          <w:szCs w:val="24"/>
        </w:rPr>
      </w:pPr>
      <w:r w:rsidRPr="00263B00">
        <w:rPr>
          <w:i/>
          <w:iCs/>
          <w:sz w:val="24"/>
          <w:szCs w:val="24"/>
        </w:rPr>
        <w:t xml:space="preserve"> “[…]</w:t>
      </w:r>
    </w:p>
    <w:p w14:paraId="4C9EF848" w14:textId="77777777" w:rsidR="003A0D14" w:rsidRPr="00263B00" w:rsidRDefault="003A0D14" w:rsidP="003A0D14">
      <w:pPr>
        <w:pStyle w:val="Prrafodelista"/>
        <w:ind w:left="709" w:right="900"/>
        <w:contextualSpacing/>
        <w:rPr>
          <w:i/>
          <w:iCs/>
        </w:rPr>
      </w:pPr>
      <w:r w:rsidRPr="00263B00">
        <w:rPr>
          <w:b/>
          <w:bCs/>
          <w:i/>
          <w:iCs/>
        </w:rPr>
        <w:t>c.</w:t>
      </w:r>
      <w:r w:rsidRPr="00263B00">
        <w:rPr>
          <w:i/>
          <w:iCs/>
        </w:rPr>
        <w:t xml:space="preserve"> </w:t>
      </w:r>
      <w:r w:rsidRPr="00263B00">
        <w:rPr>
          <w:b/>
          <w:bCs/>
          <w:i/>
          <w:iCs/>
        </w:rPr>
        <w:t>Inversiones Sostenibles</w:t>
      </w:r>
    </w:p>
    <w:p w14:paraId="09A7AF43" w14:textId="77777777" w:rsidR="003A0D14" w:rsidRPr="00263B00" w:rsidRDefault="003A0D14" w:rsidP="003A0D14">
      <w:pPr>
        <w:ind w:left="709" w:right="49"/>
        <w:contextualSpacing/>
        <w:jc w:val="both"/>
        <w:rPr>
          <w:i/>
          <w:iCs/>
          <w:sz w:val="24"/>
          <w:szCs w:val="24"/>
        </w:rPr>
      </w:pPr>
      <w:r w:rsidRPr="00263B00">
        <w:rPr>
          <w:i/>
          <w:iCs/>
          <w:sz w:val="24"/>
          <w:szCs w:val="24"/>
        </w:rPr>
        <w:lastRenderedPageBreak/>
        <w:t>Las entidades supervisadas, deben establecer políticas de gestión de inversiones sostenibles o responsables, procurando que parte de los recursos se pueda canalizar a actividades económicas o productivas que apoyen el desarrollo sostenible, mejoramiento del ambiente, así como establecer límites o prohibiciones para las inversiones que fomentan la fabricación de armamento o cualquier producto que pueda afectar negativamente a las personas y su entorno.</w:t>
      </w:r>
    </w:p>
    <w:p w14:paraId="00FB4D4C" w14:textId="77777777" w:rsidR="003A0D14" w:rsidRPr="00263B00" w:rsidRDefault="003A0D14" w:rsidP="003A0D14">
      <w:pPr>
        <w:ind w:left="709"/>
        <w:contextualSpacing/>
        <w:rPr>
          <w:i/>
          <w:iCs/>
          <w:sz w:val="24"/>
          <w:szCs w:val="24"/>
        </w:rPr>
      </w:pPr>
      <w:r w:rsidRPr="00263B00">
        <w:rPr>
          <w:i/>
          <w:iCs/>
          <w:sz w:val="24"/>
          <w:szCs w:val="24"/>
        </w:rPr>
        <w:t>[…]”</w:t>
      </w:r>
    </w:p>
    <w:p w14:paraId="43D119AD" w14:textId="77777777" w:rsidR="003A0D14" w:rsidRPr="00263B00" w:rsidRDefault="003A0D14" w:rsidP="003A0D14">
      <w:pPr>
        <w:ind w:left="709"/>
        <w:contextualSpacing/>
        <w:rPr>
          <w:i/>
          <w:iCs/>
          <w:sz w:val="24"/>
          <w:szCs w:val="24"/>
        </w:rPr>
      </w:pPr>
    </w:p>
    <w:p w14:paraId="47D2DD1D" w14:textId="77777777" w:rsidR="003A0D14" w:rsidRPr="00263B00" w:rsidRDefault="003A0D14" w:rsidP="003A0D14">
      <w:pPr>
        <w:widowControl w:val="0"/>
        <w:ind w:left="851" w:hanging="284"/>
        <w:contextualSpacing/>
        <w:jc w:val="both"/>
        <w:rPr>
          <w:b/>
          <w:bCs/>
          <w:sz w:val="24"/>
          <w:szCs w:val="24"/>
        </w:rPr>
      </w:pPr>
      <w:r w:rsidRPr="00263B00">
        <w:rPr>
          <w:b/>
          <w:bCs/>
          <w:sz w:val="24"/>
          <w:szCs w:val="24"/>
        </w:rPr>
        <w:t>2.</w:t>
      </w:r>
      <w:r w:rsidRPr="00263B00">
        <w:rPr>
          <w:b/>
          <w:bCs/>
          <w:sz w:val="24"/>
          <w:szCs w:val="24"/>
        </w:rPr>
        <w:tab/>
        <w:t>Adicionar a la sección de DISPOSICIONES TRANSITORIAS, el Transitorio XIV, de conformidad con el siguiente texto:</w:t>
      </w:r>
    </w:p>
    <w:p w14:paraId="7F79699D" w14:textId="77777777" w:rsidR="003A0D14" w:rsidRPr="00263B00" w:rsidRDefault="003A0D14" w:rsidP="003A0D14">
      <w:pPr>
        <w:pStyle w:val="Prrafodelista"/>
        <w:ind w:left="709"/>
        <w:contextualSpacing/>
        <w:rPr>
          <w:b/>
          <w:bCs/>
          <w:i/>
          <w:iCs/>
        </w:rPr>
      </w:pPr>
      <w:r w:rsidRPr="00263B00">
        <w:rPr>
          <w:b/>
          <w:bCs/>
          <w:i/>
          <w:iCs/>
        </w:rPr>
        <w:t>“Transitorio XIV</w:t>
      </w:r>
    </w:p>
    <w:p w14:paraId="6FD5A232" w14:textId="77777777" w:rsidR="003A0D14" w:rsidRPr="00263B00" w:rsidRDefault="003A0D14" w:rsidP="003A0D14">
      <w:pPr>
        <w:ind w:left="709" w:right="49"/>
        <w:contextualSpacing/>
        <w:jc w:val="both"/>
        <w:rPr>
          <w:i/>
          <w:iCs/>
          <w:sz w:val="24"/>
          <w:szCs w:val="24"/>
        </w:rPr>
      </w:pPr>
      <w:r w:rsidRPr="00263B00">
        <w:rPr>
          <w:i/>
          <w:iCs/>
          <w:sz w:val="24"/>
          <w:szCs w:val="24"/>
        </w:rPr>
        <w:t>Las entidades tendrán un plazo de 18 meses para hacer los ajustes necesarios en las políticas de inversión a efecto de incluir lo correspondiente a la gestión de inversiones sostenibles o responsables.”</w:t>
      </w:r>
    </w:p>
    <w:p w14:paraId="71BC433C" w14:textId="77777777" w:rsidR="003A0D14" w:rsidRPr="00263B00" w:rsidRDefault="003A0D14" w:rsidP="003A0D14">
      <w:pPr>
        <w:ind w:left="708" w:right="49"/>
        <w:contextualSpacing/>
        <w:jc w:val="both"/>
        <w:rPr>
          <w:i/>
          <w:iCs/>
          <w:sz w:val="24"/>
          <w:szCs w:val="24"/>
        </w:rPr>
      </w:pPr>
    </w:p>
    <w:p w14:paraId="5E6C445D" w14:textId="77777777" w:rsidR="003A0D14" w:rsidRPr="00263B00" w:rsidRDefault="003A0D14" w:rsidP="003A0D14">
      <w:pPr>
        <w:widowControl w:val="0"/>
        <w:ind w:left="426" w:hanging="426"/>
        <w:contextualSpacing/>
        <w:jc w:val="both"/>
        <w:rPr>
          <w:b/>
          <w:bCs/>
          <w:color w:val="000000"/>
          <w:sz w:val="24"/>
          <w:szCs w:val="24"/>
        </w:rPr>
      </w:pPr>
      <w:r w:rsidRPr="00263B00">
        <w:rPr>
          <w:b/>
          <w:bCs/>
          <w:color w:val="000000"/>
          <w:sz w:val="24"/>
          <w:szCs w:val="24"/>
        </w:rPr>
        <w:t>V.</w:t>
      </w:r>
      <w:r w:rsidRPr="00263B00">
        <w:rPr>
          <w:b/>
          <w:bCs/>
          <w:color w:val="000000"/>
          <w:sz w:val="24"/>
          <w:szCs w:val="24"/>
        </w:rPr>
        <w:tab/>
        <w:t xml:space="preserve">Modificar del </w:t>
      </w:r>
      <w:r w:rsidRPr="00263B00">
        <w:rPr>
          <w:b/>
          <w:bCs/>
          <w:i/>
          <w:iCs/>
          <w:color w:val="000000"/>
          <w:sz w:val="24"/>
          <w:szCs w:val="24"/>
        </w:rPr>
        <w:t>Reglamento sobre los sistemas de gestión de riesgos y control interno aplicables a entidades aseguradoras y reaseguradoras,</w:t>
      </w:r>
      <w:r w:rsidRPr="00263B00">
        <w:rPr>
          <w:b/>
          <w:bCs/>
          <w:color w:val="000000"/>
          <w:sz w:val="24"/>
          <w:szCs w:val="24"/>
        </w:rPr>
        <w:t xml:space="preserve"> Acuerdo SUGESE 09-17, aprobado </w:t>
      </w:r>
      <w:r w:rsidRPr="00263B00">
        <w:rPr>
          <w:b/>
          <w:bCs/>
          <w:sz w:val="24"/>
          <w:szCs w:val="24"/>
        </w:rPr>
        <w:t>por el Consejo Nacional de Supervisión del Sistema Financiero, mediante</w:t>
      </w:r>
      <w:r w:rsidRPr="00263B00">
        <w:rPr>
          <w:b/>
          <w:bCs/>
          <w:color w:val="000000"/>
          <w:sz w:val="24"/>
          <w:szCs w:val="24"/>
        </w:rPr>
        <w:t xml:space="preserve"> artículo 12, del acta de la sesión 1328-2017 del 2 de mayo de 2017</w:t>
      </w:r>
      <w:r w:rsidRPr="00263B00">
        <w:rPr>
          <w:b/>
          <w:bCs/>
          <w:sz w:val="24"/>
          <w:szCs w:val="24"/>
        </w:rPr>
        <w:t>.</w:t>
      </w:r>
    </w:p>
    <w:p w14:paraId="7A878F74" w14:textId="77777777" w:rsidR="003A0D14" w:rsidRPr="00263B00" w:rsidRDefault="003A0D14" w:rsidP="003A0D14">
      <w:pPr>
        <w:contextualSpacing/>
        <w:jc w:val="both"/>
        <w:rPr>
          <w:b/>
          <w:bCs/>
          <w:sz w:val="24"/>
          <w:szCs w:val="24"/>
        </w:rPr>
      </w:pPr>
    </w:p>
    <w:p w14:paraId="3D975605" w14:textId="77777777" w:rsidR="003A0D14" w:rsidRPr="00263B00" w:rsidRDefault="003A0D14" w:rsidP="003A0D14">
      <w:pPr>
        <w:widowControl w:val="0"/>
        <w:ind w:left="709" w:hanging="283"/>
        <w:contextualSpacing/>
        <w:jc w:val="both"/>
        <w:rPr>
          <w:b/>
          <w:bCs/>
          <w:sz w:val="24"/>
          <w:szCs w:val="24"/>
          <w:lang w:eastAsia="en-US"/>
        </w:rPr>
      </w:pPr>
      <w:r w:rsidRPr="00263B00">
        <w:rPr>
          <w:b/>
          <w:bCs/>
          <w:sz w:val="24"/>
          <w:szCs w:val="24"/>
        </w:rPr>
        <w:t>1.</w:t>
      </w:r>
      <w:r w:rsidRPr="00263B00">
        <w:rPr>
          <w:b/>
          <w:bCs/>
          <w:sz w:val="24"/>
          <w:szCs w:val="24"/>
        </w:rPr>
        <w:tab/>
        <w:t xml:space="preserve">Adicionar al Artículo 3. Definiciones, respetando el orden alfabético, el siguiente texto: </w:t>
      </w:r>
    </w:p>
    <w:p w14:paraId="71CBC179" w14:textId="1A48D128" w:rsidR="003A0D14" w:rsidRPr="00263B00" w:rsidRDefault="003A0D14" w:rsidP="00CE2D22">
      <w:pPr>
        <w:ind w:left="709" w:hanging="1"/>
        <w:contextualSpacing/>
        <w:jc w:val="both"/>
        <w:rPr>
          <w:i/>
          <w:iCs/>
          <w:sz w:val="24"/>
          <w:szCs w:val="24"/>
        </w:rPr>
      </w:pPr>
      <w:r w:rsidRPr="00263B00">
        <w:rPr>
          <w:i/>
          <w:iCs/>
          <w:sz w:val="24"/>
          <w:szCs w:val="24"/>
        </w:rPr>
        <w:t>“[…]</w:t>
      </w:r>
    </w:p>
    <w:p w14:paraId="30CA3FFC" w14:textId="77777777" w:rsidR="003A0D14" w:rsidRPr="00263B00" w:rsidRDefault="003A0D14" w:rsidP="003A0D14">
      <w:pPr>
        <w:ind w:left="709" w:hanging="1"/>
        <w:contextualSpacing/>
        <w:jc w:val="both"/>
        <w:rPr>
          <w:i/>
          <w:iCs/>
          <w:sz w:val="24"/>
          <w:szCs w:val="24"/>
        </w:rPr>
      </w:pPr>
      <w:r w:rsidRPr="00263B00">
        <w:rPr>
          <w:b/>
          <w:bCs/>
          <w:i/>
          <w:iCs/>
          <w:sz w:val="24"/>
          <w:szCs w:val="24"/>
        </w:rPr>
        <w:t xml:space="preserve">Factores ambientales, sociales y de gobernanza: </w:t>
      </w:r>
      <w:r w:rsidRPr="00263B00">
        <w:rPr>
          <w:i/>
          <w:iCs/>
          <w:sz w:val="24"/>
          <w:szCs w:val="24"/>
        </w:rPr>
        <w:t>conjunto de factores ambientales, sociales y de gobernanza, considerados por las organizaciones al administrar sus operaciones y los inversionistas al realizar inversiones, con respecto a los riesgos, impactos y oportunidades relacionados con, pero sin limitarse a: i) cuestiones ambientales: cambios potenciales o reales en el entorno físico o natural; ii) aspectos sociales: cambios potenciales o reales en la comunidad y los trabajadores; y iii) gobernanza: estructuras y procesos de gobierno corporativo mediante los cuales las organizaciones son dirigidas y controladas, incluida la gobernanza de políticas y procedimientos ambientales y sociales.</w:t>
      </w:r>
    </w:p>
    <w:p w14:paraId="5A05784B" w14:textId="77777777" w:rsidR="003A0D14" w:rsidRPr="00263B00" w:rsidRDefault="003A0D14" w:rsidP="003A0D14">
      <w:pPr>
        <w:ind w:left="709" w:hanging="1"/>
        <w:contextualSpacing/>
        <w:jc w:val="both"/>
        <w:rPr>
          <w:i/>
          <w:iCs/>
          <w:sz w:val="24"/>
          <w:szCs w:val="24"/>
        </w:rPr>
      </w:pPr>
      <w:r w:rsidRPr="00263B00">
        <w:rPr>
          <w:i/>
          <w:iCs/>
          <w:sz w:val="24"/>
          <w:szCs w:val="24"/>
        </w:rPr>
        <w:t>[…]”</w:t>
      </w:r>
    </w:p>
    <w:p w14:paraId="1EE4B59B" w14:textId="77777777" w:rsidR="003A0D14" w:rsidRPr="00263B00" w:rsidRDefault="003A0D14" w:rsidP="003A0D14">
      <w:pPr>
        <w:ind w:left="709" w:hanging="283"/>
        <w:contextualSpacing/>
        <w:jc w:val="both"/>
        <w:rPr>
          <w:i/>
          <w:iCs/>
          <w:sz w:val="24"/>
          <w:szCs w:val="24"/>
        </w:rPr>
      </w:pPr>
    </w:p>
    <w:p w14:paraId="4717C56A" w14:textId="768CB0B0" w:rsidR="003A0D14" w:rsidRPr="00263B00" w:rsidRDefault="003A0D14" w:rsidP="003A0D14">
      <w:pPr>
        <w:widowControl w:val="0"/>
        <w:ind w:left="709" w:hanging="283"/>
        <w:contextualSpacing/>
        <w:jc w:val="both"/>
        <w:rPr>
          <w:b/>
          <w:bCs/>
          <w:sz w:val="24"/>
          <w:szCs w:val="24"/>
        </w:rPr>
      </w:pPr>
      <w:r w:rsidRPr="00263B00">
        <w:rPr>
          <w:b/>
          <w:bCs/>
          <w:sz w:val="24"/>
          <w:szCs w:val="24"/>
        </w:rPr>
        <w:t>2.</w:t>
      </w:r>
      <w:r w:rsidRPr="00263B00">
        <w:rPr>
          <w:b/>
          <w:bCs/>
          <w:sz w:val="24"/>
          <w:szCs w:val="24"/>
        </w:rPr>
        <w:tab/>
        <w:t xml:space="preserve">Modificar la redacción del inciso a), del Artículo 9. Estrategia de gestión de riesgos, para que se lea según se indica a continuación: </w:t>
      </w:r>
    </w:p>
    <w:p w14:paraId="75FD3FA2" w14:textId="77777777" w:rsidR="003A0D14" w:rsidRPr="00263B00" w:rsidRDefault="003A0D14" w:rsidP="003A0D14">
      <w:pPr>
        <w:ind w:left="709" w:hanging="1"/>
        <w:contextualSpacing/>
        <w:jc w:val="both"/>
        <w:rPr>
          <w:i/>
          <w:iCs/>
          <w:sz w:val="24"/>
          <w:szCs w:val="24"/>
        </w:rPr>
      </w:pPr>
      <w:r w:rsidRPr="00263B00">
        <w:rPr>
          <w:i/>
          <w:iCs/>
          <w:sz w:val="24"/>
          <w:szCs w:val="24"/>
        </w:rPr>
        <w:t>“[…]</w:t>
      </w:r>
    </w:p>
    <w:p w14:paraId="0F7F18AC" w14:textId="77777777" w:rsidR="003A0D14" w:rsidRPr="00263B00" w:rsidRDefault="003A0D14" w:rsidP="003A0D14">
      <w:pPr>
        <w:tabs>
          <w:tab w:val="left" w:pos="993"/>
        </w:tabs>
        <w:ind w:left="993" w:right="-93" w:hanging="284"/>
        <w:contextualSpacing/>
        <w:jc w:val="both"/>
        <w:rPr>
          <w:i/>
          <w:iCs/>
          <w:sz w:val="24"/>
          <w:szCs w:val="24"/>
        </w:rPr>
      </w:pPr>
      <w:r w:rsidRPr="00263B00">
        <w:rPr>
          <w:i/>
          <w:iCs/>
          <w:sz w:val="24"/>
          <w:szCs w:val="24"/>
        </w:rPr>
        <w:t xml:space="preserve">a. La descripción de los diferentes riesgos contemplados, así como los objetivos y principios clave de la estrategia y el esquema de asignación de responsabilidades. El análisis de los riesgos debe contemplar aquellos asociados a factores ambientales, sociales y de gobernanza. </w:t>
      </w:r>
    </w:p>
    <w:p w14:paraId="19E24AD7" w14:textId="43DCC2D8" w:rsidR="003A0D14" w:rsidRPr="003A0D14" w:rsidRDefault="003A0D14" w:rsidP="003A0D14">
      <w:pPr>
        <w:tabs>
          <w:tab w:val="left" w:pos="709"/>
        </w:tabs>
        <w:ind w:left="993" w:hanging="284"/>
        <w:contextualSpacing/>
        <w:jc w:val="both"/>
        <w:rPr>
          <w:rFonts w:eastAsia="Calibri"/>
          <w:i/>
          <w:iCs/>
          <w:sz w:val="24"/>
          <w:szCs w:val="24"/>
        </w:rPr>
      </w:pPr>
      <w:r w:rsidRPr="00263B00">
        <w:rPr>
          <w:i/>
          <w:iCs/>
          <w:sz w:val="24"/>
          <w:szCs w:val="24"/>
        </w:rPr>
        <w:t>[…]”</w:t>
      </w:r>
    </w:p>
    <w:p w14:paraId="195DD11B" w14:textId="77777777" w:rsidR="003A0D14" w:rsidRPr="00263B00" w:rsidRDefault="003A0D14" w:rsidP="003A0D14">
      <w:pPr>
        <w:pStyle w:val="Prrafodelista"/>
        <w:ind w:left="709" w:hanging="283"/>
        <w:contextualSpacing/>
      </w:pPr>
    </w:p>
    <w:p w14:paraId="3F2BB8B9" w14:textId="77777777" w:rsidR="003A0D14" w:rsidRPr="00263B00" w:rsidRDefault="003A0D14" w:rsidP="003A0D14">
      <w:pPr>
        <w:widowControl w:val="0"/>
        <w:ind w:left="709" w:hanging="283"/>
        <w:contextualSpacing/>
        <w:jc w:val="both"/>
        <w:rPr>
          <w:b/>
          <w:bCs/>
          <w:sz w:val="24"/>
          <w:szCs w:val="24"/>
        </w:rPr>
      </w:pPr>
      <w:r w:rsidRPr="00263B00">
        <w:rPr>
          <w:b/>
          <w:bCs/>
          <w:sz w:val="24"/>
          <w:szCs w:val="24"/>
        </w:rPr>
        <w:t>3.</w:t>
      </w:r>
      <w:r w:rsidRPr="00263B00">
        <w:rPr>
          <w:b/>
          <w:bCs/>
          <w:sz w:val="24"/>
          <w:szCs w:val="24"/>
        </w:rPr>
        <w:tab/>
        <w:t>Adicionar un artículo llamado TRANSITORIO I, de conformidad con el siguiente texto:</w:t>
      </w:r>
    </w:p>
    <w:p w14:paraId="0B5A68BA" w14:textId="77777777" w:rsidR="003A0D14" w:rsidRPr="00263B00" w:rsidRDefault="003A0D14" w:rsidP="003A0D14">
      <w:pPr>
        <w:pStyle w:val="Prrafodelista"/>
        <w:ind w:left="709" w:hanging="1"/>
        <w:contextualSpacing/>
        <w:rPr>
          <w:b/>
          <w:bCs/>
          <w:i/>
          <w:iCs/>
        </w:rPr>
      </w:pPr>
      <w:r w:rsidRPr="00263B00">
        <w:rPr>
          <w:b/>
          <w:bCs/>
          <w:i/>
          <w:iCs/>
        </w:rPr>
        <w:lastRenderedPageBreak/>
        <w:t>“Transitorio I</w:t>
      </w:r>
    </w:p>
    <w:p w14:paraId="2670610B" w14:textId="7471ACA2" w:rsidR="003A0D14" w:rsidRPr="00263B00" w:rsidRDefault="003A0D14" w:rsidP="003A0D14">
      <w:pPr>
        <w:tabs>
          <w:tab w:val="left" w:pos="851"/>
        </w:tabs>
        <w:ind w:left="709" w:right="-234" w:hanging="283"/>
        <w:contextualSpacing/>
        <w:jc w:val="both"/>
        <w:rPr>
          <w:i/>
          <w:iCs/>
          <w:sz w:val="24"/>
          <w:szCs w:val="24"/>
        </w:rPr>
      </w:pPr>
      <w:r w:rsidRPr="00263B00">
        <w:rPr>
          <w:i/>
          <w:iCs/>
          <w:sz w:val="24"/>
          <w:szCs w:val="24"/>
        </w:rPr>
        <w:tab/>
        <w:t>Las entidades supervisadas tendrán un plazo de 18 meses para hacer los ajustes necesarios en las políticas relacionadas con el análisis de los riesgos asociados a factores ambientales, sociales y de gobernanza.”</w:t>
      </w:r>
    </w:p>
    <w:p w14:paraId="4047A2AF" w14:textId="77777777" w:rsidR="003A0D14" w:rsidRPr="00263B00" w:rsidRDefault="003A0D14" w:rsidP="003A0D14">
      <w:pPr>
        <w:ind w:left="851" w:right="-234"/>
        <w:contextualSpacing/>
        <w:jc w:val="both"/>
        <w:rPr>
          <w:i/>
          <w:iCs/>
          <w:sz w:val="24"/>
          <w:szCs w:val="24"/>
        </w:rPr>
      </w:pPr>
    </w:p>
    <w:p w14:paraId="1738FC8D" w14:textId="2AFB7D75" w:rsidR="003A0D14" w:rsidRPr="00263B00" w:rsidRDefault="003A0D14" w:rsidP="003A0D14">
      <w:pPr>
        <w:widowControl w:val="0"/>
        <w:ind w:left="426" w:hanging="426"/>
        <w:contextualSpacing/>
        <w:jc w:val="both"/>
        <w:rPr>
          <w:b/>
          <w:bCs/>
          <w:sz w:val="24"/>
          <w:szCs w:val="24"/>
        </w:rPr>
      </w:pPr>
      <w:r w:rsidRPr="00263B00">
        <w:rPr>
          <w:b/>
          <w:bCs/>
          <w:sz w:val="24"/>
          <w:szCs w:val="24"/>
        </w:rPr>
        <w:t>VI.</w:t>
      </w:r>
      <w:r w:rsidRPr="00263B00">
        <w:rPr>
          <w:b/>
          <w:bCs/>
          <w:sz w:val="24"/>
          <w:szCs w:val="24"/>
        </w:rPr>
        <w:tab/>
        <w:t xml:space="preserve">Modificar el </w:t>
      </w:r>
      <w:r w:rsidRPr="00263B00">
        <w:rPr>
          <w:b/>
          <w:bCs/>
          <w:i/>
          <w:iCs/>
          <w:sz w:val="24"/>
          <w:szCs w:val="24"/>
        </w:rPr>
        <w:t>Reglamento General sobre Sociedades Administradoras de Fondos de Inversión</w:t>
      </w:r>
      <w:r w:rsidRPr="00263B00">
        <w:rPr>
          <w:b/>
          <w:bCs/>
          <w:sz w:val="24"/>
          <w:szCs w:val="24"/>
        </w:rPr>
        <w:t xml:space="preserve">- SUGEVAL, aprobado por el Consejo Nacional de Supervisión del Sistema Financiero, mediante </w:t>
      </w:r>
      <w:r w:rsidR="00895917">
        <w:rPr>
          <w:b/>
          <w:bCs/>
          <w:sz w:val="24"/>
          <w:szCs w:val="24"/>
        </w:rPr>
        <w:t>a</w:t>
      </w:r>
      <w:r w:rsidRPr="00263B00">
        <w:rPr>
          <w:b/>
          <w:bCs/>
          <w:sz w:val="24"/>
          <w:szCs w:val="24"/>
        </w:rPr>
        <w:t>rtículo 17 del acta de la sesión 762-2008, celebrada el 19 de diciembre del 2008.</w:t>
      </w:r>
    </w:p>
    <w:p w14:paraId="003D730F" w14:textId="77777777" w:rsidR="003A0D14" w:rsidRPr="00263B00" w:rsidRDefault="003A0D14" w:rsidP="003A0D14">
      <w:pPr>
        <w:pStyle w:val="Prrafodelista"/>
        <w:ind w:left="360"/>
        <w:contextualSpacing/>
        <w:rPr>
          <w:b/>
          <w:bCs/>
        </w:rPr>
      </w:pPr>
    </w:p>
    <w:p w14:paraId="5073C503" w14:textId="77777777" w:rsidR="003A0D14" w:rsidRPr="00263B00" w:rsidRDefault="003A0D14" w:rsidP="003A0D14">
      <w:pPr>
        <w:widowControl w:val="0"/>
        <w:ind w:left="709" w:hanging="283"/>
        <w:contextualSpacing/>
        <w:jc w:val="both"/>
        <w:rPr>
          <w:b/>
          <w:bCs/>
          <w:sz w:val="24"/>
          <w:szCs w:val="24"/>
        </w:rPr>
      </w:pPr>
      <w:r w:rsidRPr="00263B00">
        <w:rPr>
          <w:b/>
          <w:bCs/>
          <w:sz w:val="24"/>
          <w:szCs w:val="24"/>
        </w:rPr>
        <w:t>1.</w:t>
      </w:r>
      <w:r w:rsidRPr="00263B00">
        <w:rPr>
          <w:b/>
          <w:bCs/>
          <w:sz w:val="24"/>
          <w:szCs w:val="24"/>
        </w:rPr>
        <w:tab/>
        <w:t xml:space="preserve">Adicionar un segundo párrafo al Artículo 19, Contenido del prospecto, según se indica a continuación: </w:t>
      </w:r>
    </w:p>
    <w:p w14:paraId="0459F7A2" w14:textId="77777777" w:rsidR="003A0D14" w:rsidRPr="00263B00" w:rsidRDefault="003A0D14" w:rsidP="003A0D14">
      <w:pPr>
        <w:ind w:left="709" w:hanging="1"/>
        <w:contextualSpacing/>
        <w:jc w:val="both"/>
        <w:rPr>
          <w:i/>
          <w:iCs/>
          <w:sz w:val="24"/>
          <w:szCs w:val="24"/>
        </w:rPr>
      </w:pPr>
      <w:r w:rsidRPr="00263B00">
        <w:rPr>
          <w:i/>
          <w:iCs/>
          <w:sz w:val="24"/>
          <w:szCs w:val="24"/>
        </w:rPr>
        <w:t>“[…]</w:t>
      </w:r>
    </w:p>
    <w:p w14:paraId="0A7DC72A" w14:textId="77777777" w:rsidR="003A0D14" w:rsidRPr="00263B00" w:rsidRDefault="003A0D14" w:rsidP="003A0D14">
      <w:pPr>
        <w:ind w:left="709" w:hanging="1"/>
        <w:contextualSpacing/>
        <w:jc w:val="both"/>
        <w:rPr>
          <w:i/>
          <w:iCs/>
          <w:sz w:val="24"/>
          <w:szCs w:val="24"/>
        </w:rPr>
      </w:pPr>
      <w:r w:rsidRPr="00263B00">
        <w:rPr>
          <w:i/>
          <w:iCs/>
          <w:sz w:val="24"/>
          <w:szCs w:val="24"/>
        </w:rPr>
        <w:t>En el prospecto se pueden revelar los objetivos o lineamientos de gestión de inversiones sostenibles o responsables, que procuren que parte de los recursos se pueda canalizar a actividades económicas o productivas que apoyen el desarrollo sostenible, mejoramiento del ambiente, así como establecer límites o prohibiciones para las inversiones que fomentan la fabricación de armamento o cualquier producto que pueda afectar negativamente a las personas y su entorno.</w:t>
      </w:r>
    </w:p>
    <w:p w14:paraId="164E4A69" w14:textId="77777777" w:rsidR="003A0D14" w:rsidRPr="00263B00" w:rsidRDefault="003A0D14" w:rsidP="003A0D14">
      <w:pPr>
        <w:ind w:left="709" w:hanging="1"/>
        <w:contextualSpacing/>
        <w:jc w:val="both"/>
        <w:rPr>
          <w:i/>
          <w:iCs/>
          <w:sz w:val="24"/>
          <w:szCs w:val="24"/>
        </w:rPr>
      </w:pPr>
      <w:r w:rsidRPr="00263B00">
        <w:rPr>
          <w:i/>
          <w:iCs/>
          <w:sz w:val="24"/>
          <w:szCs w:val="24"/>
        </w:rPr>
        <w:t>[…]”</w:t>
      </w:r>
    </w:p>
    <w:p w14:paraId="548961CE" w14:textId="77777777" w:rsidR="003A0D14" w:rsidRPr="00263B00" w:rsidRDefault="003A0D14" w:rsidP="003A0D14">
      <w:pPr>
        <w:contextualSpacing/>
        <w:jc w:val="both"/>
        <w:rPr>
          <w:sz w:val="24"/>
          <w:szCs w:val="24"/>
        </w:rPr>
      </w:pPr>
    </w:p>
    <w:p w14:paraId="3579F680" w14:textId="51E0C547" w:rsidR="003A0D14" w:rsidRPr="00263B00" w:rsidRDefault="003A0D14" w:rsidP="003A0D14">
      <w:pPr>
        <w:widowControl w:val="0"/>
        <w:ind w:left="426" w:hanging="426"/>
        <w:contextualSpacing/>
        <w:jc w:val="both"/>
        <w:rPr>
          <w:b/>
          <w:bCs/>
          <w:sz w:val="24"/>
          <w:szCs w:val="24"/>
        </w:rPr>
      </w:pPr>
      <w:r w:rsidRPr="00263B00">
        <w:rPr>
          <w:b/>
          <w:bCs/>
          <w:sz w:val="24"/>
          <w:szCs w:val="24"/>
        </w:rPr>
        <w:t>VII.</w:t>
      </w:r>
      <w:r w:rsidRPr="00263B00">
        <w:rPr>
          <w:b/>
          <w:bCs/>
          <w:sz w:val="24"/>
          <w:szCs w:val="24"/>
        </w:rPr>
        <w:tab/>
        <w:t xml:space="preserve">Modificar el </w:t>
      </w:r>
      <w:r w:rsidRPr="00263B00">
        <w:rPr>
          <w:b/>
          <w:bCs/>
          <w:i/>
          <w:iCs/>
          <w:sz w:val="24"/>
          <w:szCs w:val="24"/>
        </w:rPr>
        <w:t>Reglamento de Gestión de Riesgos</w:t>
      </w:r>
      <w:r w:rsidRPr="00263B00">
        <w:rPr>
          <w:b/>
          <w:bCs/>
          <w:sz w:val="24"/>
          <w:szCs w:val="24"/>
        </w:rPr>
        <w:t>-SUGEVAL, aprobado por el Consejo Nacional de Supervisión del Sistema Financiero, mediante artículo 10 del acta de la sesión 772-2009, celebrada el 13 de febrero del 2009.</w:t>
      </w:r>
    </w:p>
    <w:p w14:paraId="22F25E19" w14:textId="77777777" w:rsidR="003A0D14" w:rsidRPr="00263B00" w:rsidRDefault="003A0D14" w:rsidP="003A0D14">
      <w:pPr>
        <w:contextualSpacing/>
        <w:jc w:val="both"/>
        <w:rPr>
          <w:b/>
          <w:bCs/>
          <w:sz w:val="24"/>
          <w:szCs w:val="24"/>
        </w:rPr>
      </w:pPr>
    </w:p>
    <w:p w14:paraId="4710B781" w14:textId="77777777" w:rsidR="003A0D14" w:rsidRPr="00263B00" w:rsidRDefault="003A0D14" w:rsidP="003A0D14">
      <w:pPr>
        <w:widowControl w:val="0"/>
        <w:ind w:left="709" w:hanging="283"/>
        <w:contextualSpacing/>
        <w:jc w:val="both"/>
        <w:rPr>
          <w:b/>
          <w:bCs/>
          <w:sz w:val="24"/>
          <w:szCs w:val="24"/>
        </w:rPr>
      </w:pPr>
      <w:r w:rsidRPr="00263B00">
        <w:rPr>
          <w:b/>
          <w:bCs/>
          <w:sz w:val="24"/>
          <w:szCs w:val="24"/>
        </w:rPr>
        <w:t>1.</w:t>
      </w:r>
      <w:r w:rsidRPr="00263B00">
        <w:rPr>
          <w:b/>
          <w:bCs/>
          <w:sz w:val="24"/>
          <w:szCs w:val="24"/>
        </w:rPr>
        <w:tab/>
        <w:t xml:space="preserve">Adicionar al Artículo 3. Definiciones, respetando el orden alfabético, el siguiente texto: </w:t>
      </w:r>
    </w:p>
    <w:p w14:paraId="675CA235" w14:textId="1D52DE58" w:rsidR="003A0D14" w:rsidRPr="00263B00" w:rsidRDefault="003A0D14" w:rsidP="00FB7DFE">
      <w:pPr>
        <w:ind w:left="709" w:hanging="1"/>
        <w:contextualSpacing/>
        <w:jc w:val="both"/>
        <w:rPr>
          <w:i/>
          <w:iCs/>
          <w:sz w:val="24"/>
          <w:szCs w:val="24"/>
        </w:rPr>
      </w:pPr>
      <w:r w:rsidRPr="00263B00">
        <w:rPr>
          <w:i/>
          <w:iCs/>
          <w:sz w:val="24"/>
          <w:szCs w:val="24"/>
        </w:rPr>
        <w:t>“[…]</w:t>
      </w:r>
    </w:p>
    <w:p w14:paraId="67C7BCFE" w14:textId="77777777" w:rsidR="003A0D14" w:rsidRPr="00263B00" w:rsidRDefault="003A0D14" w:rsidP="003A0D14">
      <w:pPr>
        <w:ind w:left="709" w:hanging="1"/>
        <w:contextualSpacing/>
        <w:jc w:val="both"/>
        <w:rPr>
          <w:i/>
          <w:iCs/>
          <w:sz w:val="24"/>
          <w:szCs w:val="24"/>
        </w:rPr>
      </w:pPr>
      <w:r w:rsidRPr="00263B00">
        <w:rPr>
          <w:b/>
          <w:bCs/>
          <w:i/>
          <w:iCs/>
          <w:sz w:val="24"/>
          <w:szCs w:val="24"/>
        </w:rPr>
        <w:t xml:space="preserve">Factores ambientales, sociales y de gobernanza: </w:t>
      </w:r>
      <w:r w:rsidRPr="00263B00">
        <w:rPr>
          <w:i/>
          <w:iCs/>
          <w:sz w:val="24"/>
          <w:szCs w:val="24"/>
        </w:rPr>
        <w:t>conjunto de factores ambientales, sociales y de gobernanza, considerados por las organizaciones al administrar sus operaciones y los inversionistas al realizar inversiones, con respecto a los riesgos, impactos y oportunidades relacionados con, pero sin limitarse a: i) cuestiones ambientales: cambios potenciales o reales en el entorno físico o natural; ii) aspectos sociales: cambios potenciales o reales en la comunidad y los trabajadores; y iii) gobernanza: estructuras y procesos de gobierno corporativo mediante los cuales las organizaciones son dirigidas y controladas, incluida la gobernanza de políticas y procedimientos ambientales y sociales.</w:t>
      </w:r>
    </w:p>
    <w:p w14:paraId="74AA5222" w14:textId="2C024572" w:rsidR="003A0D14" w:rsidRPr="00263B00" w:rsidRDefault="003A0D14" w:rsidP="00FB7DFE">
      <w:pPr>
        <w:ind w:left="709" w:hanging="1"/>
        <w:contextualSpacing/>
        <w:jc w:val="both"/>
        <w:rPr>
          <w:i/>
          <w:iCs/>
          <w:sz w:val="24"/>
          <w:szCs w:val="24"/>
        </w:rPr>
      </w:pPr>
      <w:r w:rsidRPr="00263B00">
        <w:rPr>
          <w:i/>
          <w:iCs/>
          <w:sz w:val="24"/>
          <w:szCs w:val="24"/>
        </w:rPr>
        <w:t>[…]”</w:t>
      </w:r>
    </w:p>
    <w:p w14:paraId="451DD7D7" w14:textId="77777777" w:rsidR="003A0D14" w:rsidRPr="00263B00" w:rsidRDefault="003A0D14" w:rsidP="003A0D14">
      <w:pPr>
        <w:ind w:left="709" w:hanging="283"/>
        <w:contextualSpacing/>
        <w:jc w:val="both"/>
        <w:rPr>
          <w:i/>
          <w:iCs/>
          <w:sz w:val="24"/>
          <w:szCs w:val="24"/>
        </w:rPr>
      </w:pPr>
    </w:p>
    <w:p w14:paraId="24EE25C1" w14:textId="77777777" w:rsidR="003A0D14" w:rsidRPr="00263B00" w:rsidRDefault="003A0D14" w:rsidP="003A0D14">
      <w:pPr>
        <w:widowControl w:val="0"/>
        <w:ind w:left="709" w:hanging="283"/>
        <w:contextualSpacing/>
        <w:jc w:val="both"/>
        <w:rPr>
          <w:b/>
          <w:bCs/>
          <w:sz w:val="24"/>
          <w:szCs w:val="24"/>
        </w:rPr>
      </w:pPr>
      <w:r w:rsidRPr="00263B00">
        <w:rPr>
          <w:b/>
          <w:bCs/>
          <w:sz w:val="24"/>
          <w:szCs w:val="24"/>
        </w:rPr>
        <w:t>2.</w:t>
      </w:r>
      <w:r w:rsidRPr="00263B00">
        <w:rPr>
          <w:b/>
          <w:bCs/>
          <w:sz w:val="24"/>
          <w:szCs w:val="24"/>
        </w:rPr>
        <w:tab/>
        <w:t xml:space="preserve">Adicionar el inciso o), al Artículo 5. Principios para la gestión de riesgos, de conformidad con el siguiente texto: </w:t>
      </w:r>
    </w:p>
    <w:p w14:paraId="5F2B1E00" w14:textId="233A8E81" w:rsidR="003A0D14" w:rsidRPr="00263B00" w:rsidRDefault="003A0D14" w:rsidP="00FB7DFE">
      <w:pPr>
        <w:ind w:left="709"/>
        <w:contextualSpacing/>
        <w:jc w:val="both"/>
        <w:rPr>
          <w:i/>
          <w:iCs/>
          <w:sz w:val="24"/>
          <w:szCs w:val="24"/>
        </w:rPr>
      </w:pPr>
      <w:r w:rsidRPr="00263B00">
        <w:rPr>
          <w:i/>
          <w:iCs/>
          <w:sz w:val="24"/>
          <w:szCs w:val="24"/>
        </w:rPr>
        <w:t>“[…]</w:t>
      </w:r>
    </w:p>
    <w:p w14:paraId="142ACB62" w14:textId="77777777" w:rsidR="003A0D14" w:rsidRPr="00263B00" w:rsidRDefault="003A0D14" w:rsidP="003A0D14">
      <w:pPr>
        <w:ind w:left="993" w:hanging="284"/>
        <w:contextualSpacing/>
        <w:jc w:val="both"/>
        <w:rPr>
          <w:i/>
          <w:iCs/>
          <w:sz w:val="24"/>
          <w:szCs w:val="24"/>
        </w:rPr>
      </w:pPr>
      <w:r w:rsidRPr="00263B00">
        <w:rPr>
          <w:i/>
          <w:iCs/>
          <w:sz w:val="24"/>
          <w:szCs w:val="24"/>
        </w:rPr>
        <w:t>o) El análisis de los riesgos considerados debe contemplar aquellos asociados a factores ambientales, sociales y de gobernanza.”</w:t>
      </w:r>
    </w:p>
    <w:p w14:paraId="48C918DC" w14:textId="77777777" w:rsidR="003A0D14" w:rsidRPr="00263B00" w:rsidRDefault="003A0D14" w:rsidP="003A0D14">
      <w:pPr>
        <w:ind w:left="709" w:hanging="283"/>
        <w:contextualSpacing/>
        <w:jc w:val="both"/>
        <w:rPr>
          <w:b/>
          <w:bCs/>
          <w:sz w:val="24"/>
          <w:szCs w:val="24"/>
        </w:rPr>
      </w:pPr>
    </w:p>
    <w:p w14:paraId="65CB9AD8" w14:textId="77777777" w:rsidR="003A0D14" w:rsidRPr="00263B00" w:rsidRDefault="003A0D14" w:rsidP="003A0D14">
      <w:pPr>
        <w:widowControl w:val="0"/>
        <w:ind w:left="709" w:hanging="283"/>
        <w:contextualSpacing/>
        <w:jc w:val="both"/>
        <w:rPr>
          <w:b/>
          <w:bCs/>
          <w:sz w:val="24"/>
          <w:szCs w:val="24"/>
        </w:rPr>
      </w:pPr>
      <w:r w:rsidRPr="00263B00">
        <w:rPr>
          <w:b/>
          <w:bCs/>
          <w:sz w:val="24"/>
          <w:szCs w:val="24"/>
        </w:rPr>
        <w:lastRenderedPageBreak/>
        <w:t>3.</w:t>
      </w:r>
      <w:r w:rsidRPr="00263B00">
        <w:rPr>
          <w:b/>
          <w:bCs/>
          <w:sz w:val="24"/>
          <w:szCs w:val="24"/>
        </w:rPr>
        <w:tab/>
        <w:t>Adicionar a la Sección de TRANSITORIOS, el Transitorio V, de conformidad con el siguiente texto:</w:t>
      </w:r>
    </w:p>
    <w:p w14:paraId="4F003206" w14:textId="77777777" w:rsidR="003A0D14" w:rsidRPr="00263B00" w:rsidRDefault="003A0D14" w:rsidP="003A0D14">
      <w:pPr>
        <w:ind w:left="709" w:hanging="1"/>
        <w:contextualSpacing/>
        <w:jc w:val="both"/>
        <w:rPr>
          <w:b/>
          <w:bCs/>
          <w:i/>
          <w:iCs/>
          <w:sz w:val="24"/>
          <w:szCs w:val="24"/>
        </w:rPr>
      </w:pPr>
      <w:r w:rsidRPr="00263B00">
        <w:rPr>
          <w:b/>
          <w:bCs/>
          <w:i/>
          <w:iCs/>
          <w:sz w:val="24"/>
          <w:szCs w:val="24"/>
        </w:rPr>
        <w:t>“Transitorio V</w:t>
      </w:r>
    </w:p>
    <w:p w14:paraId="558BFD0D" w14:textId="77777777" w:rsidR="003A0D14" w:rsidRPr="00263B00" w:rsidRDefault="003A0D14" w:rsidP="003A0D14">
      <w:pPr>
        <w:ind w:left="709" w:hanging="1"/>
        <w:contextualSpacing/>
        <w:jc w:val="both"/>
        <w:rPr>
          <w:i/>
          <w:iCs/>
          <w:sz w:val="24"/>
          <w:szCs w:val="24"/>
        </w:rPr>
      </w:pPr>
      <w:r w:rsidRPr="00263B00">
        <w:rPr>
          <w:i/>
          <w:iCs/>
          <w:sz w:val="24"/>
          <w:szCs w:val="24"/>
        </w:rPr>
        <w:t>Las entidades supervisadas tendrán un plazo de 18 meses para hacer los ajustes necesarios en las políticas relacionadas con el análisis de los riesgos asociados a factores ambientales, sociales y de gobernanza.”</w:t>
      </w:r>
    </w:p>
    <w:bookmarkEnd w:id="1"/>
    <w:p w14:paraId="7677B2A3" w14:textId="77777777" w:rsidR="003A0D14" w:rsidRPr="00263B00" w:rsidRDefault="003A0D14" w:rsidP="003A0D14">
      <w:pPr>
        <w:widowControl w:val="0"/>
        <w:contextualSpacing/>
        <w:jc w:val="both"/>
        <w:rPr>
          <w:bCs/>
          <w:sz w:val="24"/>
          <w:szCs w:val="24"/>
        </w:rPr>
      </w:pPr>
    </w:p>
    <w:p w14:paraId="690D0C07" w14:textId="77777777" w:rsidR="003A0D14" w:rsidRPr="00263B00" w:rsidRDefault="003A0D14" w:rsidP="003A0D14">
      <w:pPr>
        <w:widowControl w:val="0"/>
        <w:contextualSpacing/>
        <w:jc w:val="both"/>
        <w:rPr>
          <w:b/>
          <w:i/>
          <w:iCs/>
          <w:sz w:val="24"/>
          <w:szCs w:val="24"/>
        </w:rPr>
      </w:pPr>
      <w:r w:rsidRPr="00263B00">
        <w:rPr>
          <w:b/>
          <w:i/>
          <w:iCs/>
          <w:sz w:val="24"/>
          <w:szCs w:val="24"/>
        </w:rPr>
        <w:t>Rige a partir de su publicación en el diario oficial La Gaceta.</w:t>
      </w:r>
    </w:p>
    <w:p w14:paraId="116EEF61" w14:textId="77777777" w:rsidR="003A0D14" w:rsidRPr="00263B00" w:rsidRDefault="003A0D14" w:rsidP="003A0D14">
      <w:pPr>
        <w:contextualSpacing/>
        <w:jc w:val="both"/>
        <w:rPr>
          <w:sz w:val="24"/>
          <w:szCs w:val="24"/>
          <w:lang w:val="es-ES_tradnl"/>
        </w:rPr>
      </w:pPr>
    </w:p>
    <w:p w14:paraId="10A73E68" w14:textId="03177F3A" w:rsidR="00A36D16" w:rsidRPr="00D37F6E" w:rsidRDefault="003A0D14" w:rsidP="005C6973">
      <w:pPr>
        <w:widowControl w:val="0"/>
        <w:jc w:val="both"/>
        <w:rPr>
          <w:sz w:val="24"/>
          <w:szCs w:val="24"/>
        </w:rPr>
      </w:pPr>
      <w:r>
        <w:rPr>
          <w:noProof/>
        </w:rPr>
        <w:drawing>
          <wp:anchor distT="0" distB="0" distL="114300" distR="114300" simplePos="0" relativeHeight="251658240" behindDoc="1" locked="0" layoutInCell="1" allowOverlap="0" wp14:anchorId="3EF00072" wp14:editId="6F4D49DC">
            <wp:simplePos x="0" y="0"/>
            <wp:positionH relativeFrom="column">
              <wp:posOffset>-80010</wp:posOffset>
            </wp:positionH>
            <wp:positionV relativeFrom="paragraph">
              <wp:posOffset>194945</wp:posOffset>
            </wp:positionV>
            <wp:extent cx="2295525" cy="400050"/>
            <wp:effectExtent l="0" t="0" r="0" b="0"/>
            <wp:wrapSquare wrapText="bothSides"/>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l="5118"/>
                    <a:stretch>
                      <a:fillRect/>
                    </a:stretch>
                  </pic:blipFill>
                  <pic:spPr bwMode="auto">
                    <a:xfrm>
                      <a:off x="0" y="0"/>
                      <a:ext cx="2295525" cy="400050"/>
                    </a:xfrm>
                    <a:prstGeom prst="rect">
                      <a:avLst/>
                    </a:prstGeom>
                    <a:noFill/>
                    <a:ln>
                      <a:noFill/>
                    </a:ln>
                  </pic:spPr>
                </pic:pic>
              </a:graphicData>
            </a:graphic>
            <wp14:sizeRelH relativeFrom="page">
              <wp14:pctWidth>0</wp14:pctWidth>
            </wp14:sizeRelH>
            <wp14:sizeRelV relativeFrom="page">
              <wp14:pctHeight>0</wp14:pctHeight>
            </wp14:sizeRelV>
          </wp:anchor>
        </w:drawing>
      </w:r>
      <w:r w:rsidR="00A36D16" w:rsidRPr="00D37F6E">
        <w:rPr>
          <w:sz w:val="24"/>
          <w:szCs w:val="24"/>
        </w:rPr>
        <w:t>Atentamente,</w:t>
      </w:r>
    </w:p>
    <w:p w14:paraId="7B11D399" w14:textId="77777777" w:rsidR="00901072" w:rsidRDefault="00901072" w:rsidP="00901072">
      <w:pPr>
        <w:widowControl w:val="0"/>
        <w:jc w:val="both"/>
        <w:rPr>
          <w:sz w:val="24"/>
          <w:szCs w:val="24"/>
        </w:rPr>
      </w:pPr>
      <w:r>
        <w:rPr>
          <w:sz w:val="24"/>
          <w:szCs w:val="24"/>
        </w:rPr>
        <w:br/>
      </w:r>
    </w:p>
    <w:p w14:paraId="75EFA125" w14:textId="77777777" w:rsidR="004D6CBF" w:rsidRDefault="004D6CBF" w:rsidP="004D6CBF">
      <w:pPr>
        <w:widowControl w:val="0"/>
        <w:jc w:val="both"/>
        <w:rPr>
          <w:sz w:val="24"/>
          <w:szCs w:val="24"/>
        </w:rPr>
      </w:pPr>
    </w:p>
    <w:p w14:paraId="0505FF5B" w14:textId="77777777" w:rsidR="00A36D16" w:rsidRPr="00D37F6E" w:rsidRDefault="00645468" w:rsidP="004D6CBF">
      <w:pPr>
        <w:widowControl w:val="0"/>
        <w:jc w:val="both"/>
        <w:rPr>
          <w:sz w:val="24"/>
          <w:szCs w:val="24"/>
        </w:rPr>
      </w:pPr>
      <w:r>
        <w:rPr>
          <w:sz w:val="24"/>
          <w:szCs w:val="24"/>
        </w:rPr>
        <w:t>Celia Alpízar Paniagua</w:t>
      </w:r>
    </w:p>
    <w:p w14:paraId="522203B9" w14:textId="77777777" w:rsidR="00A36D16" w:rsidRPr="00D37F6E" w:rsidRDefault="00A36D16" w:rsidP="003510A8">
      <w:pPr>
        <w:widowControl w:val="0"/>
        <w:rPr>
          <w:b/>
          <w:i/>
          <w:sz w:val="24"/>
          <w:szCs w:val="24"/>
        </w:rPr>
      </w:pPr>
      <w:r w:rsidRPr="00D37F6E">
        <w:rPr>
          <w:b/>
          <w:i/>
          <w:sz w:val="24"/>
          <w:szCs w:val="24"/>
        </w:rPr>
        <w:t>Secretari</w:t>
      </w:r>
      <w:r w:rsidR="004A486B">
        <w:rPr>
          <w:b/>
          <w:i/>
          <w:sz w:val="24"/>
          <w:szCs w:val="24"/>
        </w:rPr>
        <w:t>a</w:t>
      </w:r>
      <w:r w:rsidRPr="00D37F6E">
        <w:rPr>
          <w:b/>
          <w:i/>
          <w:sz w:val="24"/>
          <w:szCs w:val="24"/>
        </w:rPr>
        <w:t xml:space="preserve"> </w:t>
      </w:r>
      <w:r w:rsidR="0005722B">
        <w:rPr>
          <w:b/>
          <w:i/>
          <w:sz w:val="24"/>
          <w:szCs w:val="24"/>
        </w:rPr>
        <w:t xml:space="preserve">Interina </w:t>
      </w:r>
      <w:r w:rsidRPr="00D37F6E">
        <w:rPr>
          <w:b/>
          <w:i/>
          <w:sz w:val="24"/>
          <w:szCs w:val="24"/>
        </w:rPr>
        <w:t>del Consejo</w:t>
      </w:r>
    </w:p>
    <w:p w14:paraId="7DF5BCD9" w14:textId="77777777" w:rsidR="00A36D16" w:rsidRPr="00D37F6E" w:rsidRDefault="00A36D16" w:rsidP="005C6973">
      <w:pPr>
        <w:widowControl w:val="0"/>
        <w:jc w:val="both"/>
        <w:rPr>
          <w:sz w:val="24"/>
          <w:szCs w:val="24"/>
        </w:rPr>
      </w:pPr>
    </w:p>
    <w:sectPr w:rsidR="00A36D16" w:rsidRPr="00D37F6E" w:rsidSect="00D33020">
      <w:headerReference w:type="default" r:id="rId13"/>
      <w:footerReference w:type="default" r:id="rId14"/>
      <w:pgSz w:w="12240" w:h="15840"/>
      <w:pgMar w:top="1812" w:right="1467"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30446F" w14:textId="77777777" w:rsidR="003A0D14" w:rsidRDefault="003A0D14" w:rsidP="00290A93">
      <w:r>
        <w:separator/>
      </w:r>
    </w:p>
  </w:endnote>
  <w:endnote w:type="continuationSeparator" w:id="0">
    <w:p w14:paraId="18325D8C" w14:textId="77777777" w:rsidR="003A0D14" w:rsidRDefault="003A0D14" w:rsidP="00290A93">
      <w:r>
        <w:continuationSeparator/>
      </w:r>
    </w:p>
  </w:endnote>
  <w:endnote w:type="continuationNotice" w:id="1">
    <w:p w14:paraId="6E53391E" w14:textId="77777777" w:rsidR="00A75841" w:rsidRDefault="00A758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onet">
    <w:altName w:val="Arabic Typesetting"/>
    <w:charset w:val="00"/>
    <w:family w:val="script"/>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BR-01T">
    <w:altName w:val="Cambria"/>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Roman">
    <w:panose1 w:val="00000000000000000000"/>
    <w:charset w:val="FF"/>
    <w:family w:val="roman"/>
    <w:notTrueType/>
    <w:pitch w:val="variable"/>
    <w:sig w:usb0="00000003" w:usb1="00000000" w:usb2="00000000" w:usb3="00000000" w:csb0="00000000"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99471013"/>
      <w:docPartObj>
        <w:docPartGallery w:val="Page Numbers (Bottom of Page)"/>
        <w:docPartUnique/>
      </w:docPartObj>
    </w:sdtPr>
    <w:sdtEndPr/>
    <w:sdtContent>
      <w:p w14:paraId="6C0C5605" w14:textId="0C105096" w:rsidR="005D198A" w:rsidRDefault="005D198A">
        <w:pPr>
          <w:pStyle w:val="Piedepgina"/>
          <w:jc w:val="right"/>
        </w:pPr>
        <w:r>
          <w:fldChar w:fldCharType="begin"/>
        </w:r>
        <w:r>
          <w:instrText>PAGE   \* MERGEFORMAT</w:instrText>
        </w:r>
        <w:r>
          <w:fldChar w:fldCharType="separate"/>
        </w:r>
        <w:r>
          <w:t>2</w:t>
        </w:r>
        <w:r>
          <w:fldChar w:fldCharType="end"/>
        </w:r>
        <w:r>
          <w:t>/1</w:t>
        </w:r>
        <w:r w:rsidR="004C00AB">
          <w:t>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79C2E9" w14:textId="77777777" w:rsidR="003A0D14" w:rsidRDefault="003A0D14" w:rsidP="00290A93">
      <w:r>
        <w:separator/>
      </w:r>
    </w:p>
  </w:footnote>
  <w:footnote w:type="continuationSeparator" w:id="0">
    <w:p w14:paraId="73871438" w14:textId="77777777" w:rsidR="003A0D14" w:rsidRDefault="003A0D14" w:rsidP="00290A93">
      <w:r>
        <w:continuationSeparator/>
      </w:r>
    </w:p>
  </w:footnote>
  <w:footnote w:type="continuationNotice" w:id="1">
    <w:p w14:paraId="5DAC270F" w14:textId="77777777" w:rsidR="00A75841" w:rsidRDefault="00A7584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E2793C" w14:textId="2F26B0DB" w:rsidR="00D33020" w:rsidRDefault="003A0D14">
    <w:pPr>
      <w:pStyle w:val="Encabezado"/>
    </w:pPr>
    <w:r>
      <w:rPr>
        <w:noProof/>
        <w:lang w:val="es-CR" w:eastAsia="es-CR"/>
      </w:rPr>
      <w:drawing>
        <wp:anchor distT="0" distB="0" distL="114300" distR="114300" simplePos="0" relativeHeight="251658240" behindDoc="0" locked="0" layoutInCell="1" allowOverlap="1" wp14:anchorId="63894EFC" wp14:editId="185FD2CD">
          <wp:simplePos x="0" y="0"/>
          <wp:positionH relativeFrom="column">
            <wp:posOffset>-8255</wp:posOffset>
          </wp:positionH>
          <wp:positionV relativeFrom="paragraph">
            <wp:posOffset>-15875</wp:posOffset>
          </wp:positionV>
          <wp:extent cx="4750435" cy="510540"/>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50435" cy="5105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0956D7"/>
    <w:multiLevelType w:val="hybridMultilevel"/>
    <w:tmpl w:val="45DC66D6"/>
    <w:lvl w:ilvl="0" w:tplc="2DC2C11C">
      <w:start w:val="1"/>
      <w:numFmt w:val="lowerLetter"/>
      <w:lvlText w:val="%1)"/>
      <w:lvlJc w:val="left"/>
      <w:pPr>
        <w:ind w:left="1065" w:hanging="705"/>
      </w:pPr>
      <w:rPr>
        <w:rFonts w:ascii="Cambria" w:hAnsi="Cambria" w:cs="Times New Roman" w:hint="default"/>
        <w:sz w:val="24"/>
      </w:rPr>
    </w:lvl>
    <w:lvl w:ilvl="1" w:tplc="140A001B">
      <w:start w:val="1"/>
      <w:numFmt w:val="lowerRoman"/>
      <w:lvlText w:val="%2."/>
      <w:lvlJc w:val="right"/>
      <w:pPr>
        <w:ind w:left="1440" w:hanging="360"/>
      </w:pPr>
    </w:lvl>
    <w:lvl w:ilvl="2" w:tplc="140A001B">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2B9235E3"/>
    <w:multiLevelType w:val="hybridMultilevel"/>
    <w:tmpl w:val="1F0C85F4"/>
    <w:lvl w:ilvl="0" w:tplc="0D781B18">
      <w:start w:val="1"/>
      <w:numFmt w:val="upperLetter"/>
      <w:lvlText w:val="%1."/>
      <w:lvlJc w:val="left"/>
      <w:pPr>
        <w:ind w:left="1065" w:hanging="705"/>
      </w:pPr>
      <w:rPr>
        <w:rFonts w:hint="default"/>
      </w:rPr>
    </w:lvl>
    <w:lvl w:ilvl="1" w:tplc="0C0A001B">
      <w:start w:val="1"/>
      <w:numFmt w:val="lowerRoman"/>
      <w:lvlText w:val="%2."/>
      <w:lvlJc w:val="right"/>
      <w:pPr>
        <w:ind w:left="1440" w:hanging="360"/>
      </w:pPr>
    </w:lvl>
    <w:lvl w:ilvl="2" w:tplc="7B644D34">
      <w:start w:val="2"/>
      <w:numFmt w:val="bullet"/>
      <w:lvlText w:val="-"/>
      <w:lvlJc w:val="left"/>
      <w:pPr>
        <w:ind w:left="2340" w:hanging="360"/>
      </w:pPr>
      <w:rPr>
        <w:rFonts w:ascii="Courier New" w:eastAsia="Times New Roman" w:hAnsi="Courier New" w:cs="Courier New" w:hint="default"/>
      </w:r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3A1E4AB2"/>
    <w:multiLevelType w:val="hybridMultilevel"/>
    <w:tmpl w:val="6E2036CA"/>
    <w:lvl w:ilvl="0" w:tplc="6BF61678">
      <w:start w:val="1"/>
      <w:numFmt w:val="lowerRoman"/>
      <w:lvlText w:val="%1."/>
      <w:lvlJc w:val="left"/>
      <w:pPr>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52B53A37"/>
    <w:multiLevelType w:val="hybridMultilevel"/>
    <w:tmpl w:val="BA04CD0A"/>
    <w:lvl w:ilvl="0" w:tplc="4FFE30AC">
      <w:start w:val="1"/>
      <w:numFmt w:val="lowerRoman"/>
      <w:lvlText w:val="%1."/>
      <w:lvlJc w:val="left"/>
      <w:pPr>
        <w:ind w:left="2139" w:hanging="720"/>
      </w:pPr>
      <w:rPr>
        <w:rFonts w:hint="default"/>
      </w:rPr>
    </w:lvl>
    <w:lvl w:ilvl="1" w:tplc="140A0019" w:tentative="1">
      <w:start w:val="1"/>
      <w:numFmt w:val="lowerLetter"/>
      <w:lvlText w:val="%2."/>
      <w:lvlJc w:val="left"/>
      <w:pPr>
        <w:ind w:left="2499" w:hanging="360"/>
      </w:pPr>
    </w:lvl>
    <w:lvl w:ilvl="2" w:tplc="140A001B" w:tentative="1">
      <w:start w:val="1"/>
      <w:numFmt w:val="lowerRoman"/>
      <w:lvlText w:val="%3."/>
      <w:lvlJc w:val="right"/>
      <w:pPr>
        <w:ind w:left="3219" w:hanging="180"/>
      </w:pPr>
    </w:lvl>
    <w:lvl w:ilvl="3" w:tplc="140A000F" w:tentative="1">
      <w:start w:val="1"/>
      <w:numFmt w:val="decimal"/>
      <w:lvlText w:val="%4."/>
      <w:lvlJc w:val="left"/>
      <w:pPr>
        <w:ind w:left="3939" w:hanging="360"/>
      </w:pPr>
    </w:lvl>
    <w:lvl w:ilvl="4" w:tplc="140A0019" w:tentative="1">
      <w:start w:val="1"/>
      <w:numFmt w:val="lowerLetter"/>
      <w:lvlText w:val="%5."/>
      <w:lvlJc w:val="left"/>
      <w:pPr>
        <w:ind w:left="4659" w:hanging="360"/>
      </w:pPr>
    </w:lvl>
    <w:lvl w:ilvl="5" w:tplc="140A001B" w:tentative="1">
      <w:start w:val="1"/>
      <w:numFmt w:val="lowerRoman"/>
      <w:lvlText w:val="%6."/>
      <w:lvlJc w:val="right"/>
      <w:pPr>
        <w:ind w:left="5379" w:hanging="180"/>
      </w:pPr>
    </w:lvl>
    <w:lvl w:ilvl="6" w:tplc="140A000F" w:tentative="1">
      <w:start w:val="1"/>
      <w:numFmt w:val="decimal"/>
      <w:lvlText w:val="%7."/>
      <w:lvlJc w:val="left"/>
      <w:pPr>
        <w:ind w:left="6099" w:hanging="360"/>
      </w:pPr>
    </w:lvl>
    <w:lvl w:ilvl="7" w:tplc="140A0019" w:tentative="1">
      <w:start w:val="1"/>
      <w:numFmt w:val="lowerLetter"/>
      <w:lvlText w:val="%8."/>
      <w:lvlJc w:val="left"/>
      <w:pPr>
        <w:ind w:left="6819" w:hanging="360"/>
      </w:pPr>
    </w:lvl>
    <w:lvl w:ilvl="8" w:tplc="140A001B" w:tentative="1">
      <w:start w:val="1"/>
      <w:numFmt w:val="lowerRoman"/>
      <w:lvlText w:val="%9."/>
      <w:lvlJc w:val="right"/>
      <w:pPr>
        <w:ind w:left="7539" w:hanging="180"/>
      </w:pPr>
    </w:lvl>
  </w:abstractNum>
  <w:abstractNum w:abstractNumId="4" w15:restartNumberingAfterBreak="0">
    <w:nsid w:val="561B1E44"/>
    <w:multiLevelType w:val="hybridMultilevel"/>
    <w:tmpl w:val="3AC050AA"/>
    <w:lvl w:ilvl="0" w:tplc="7026E906">
      <w:start w:val="1"/>
      <w:numFmt w:val="decimal"/>
      <w:pStyle w:val="Listaconnmeros"/>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64BF4925"/>
    <w:multiLevelType w:val="hybridMultilevel"/>
    <w:tmpl w:val="96BC1F5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5C6243C"/>
    <w:multiLevelType w:val="hybridMultilevel"/>
    <w:tmpl w:val="DDC0C034"/>
    <w:lvl w:ilvl="0" w:tplc="042AFDF2">
      <w:start w:val="1"/>
      <w:numFmt w:val="lowerRoman"/>
      <w:lvlText w:val="%1."/>
      <w:lvlJc w:val="left"/>
      <w:pPr>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6A714D06"/>
    <w:multiLevelType w:val="hybridMultilevel"/>
    <w:tmpl w:val="ECF4F88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7D0451EC"/>
    <w:multiLevelType w:val="hybridMultilevel"/>
    <w:tmpl w:val="162E5676"/>
    <w:lvl w:ilvl="0" w:tplc="140A0001">
      <w:start w:val="1"/>
      <w:numFmt w:val="bullet"/>
      <w:lvlText w:val=""/>
      <w:lvlJc w:val="left"/>
      <w:pPr>
        <w:ind w:left="1146" w:hanging="720"/>
      </w:pPr>
      <w:rPr>
        <w:rFonts w:ascii="Symbol" w:hAnsi="Symbol" w:hint="default"/>
      </w:rPr>
    </w:lvl>
    <w:lvl w:ilvl="1" w:tplc="140A0019" w:tentative="1">
      <w:start w:val="1"/>
      <w:numFmt w:val="lowerLetter"/>
      <w:lvlText w:val="%2."/>
      <w:lvlJc w:val="left"/>
      <w:pPr>
        <w:ind w:left="1506" w:hanging="360"/>
      </w:pPr>
    </w:lvl>
    <w:lvl w:ilvl="2" w:tplc="140A001B" w:tentative="1">
      <w:start w:val="1"/>
      <w:numFmt w:val="lowerRoman"/>
      <w:lvlText w:val="%3."/>
      <w:lvlJc w:val="right"/>
      <w:pPr>
        <w:ind w:left="2226" w:hanging="180"/>
      </w:pPr>
    </w:lvl>
    <w:lvl w:ilvl="3" w:tplc="140A000F" w:tentative="1">
      <w:start w:val="1"/>
      <w:numFmt w:val="decimal"/>
      <w:lvlText w:val="%4."/>
      <w:lvlJc w:val="left"/>
      <w:pPr>
        <w:ind w:left="2946" w:hanging="360"/>
      </w:pPr>
    </w:lvl>
    <w:lvl w:ilvl="4" w:tplc="140A0019" w:tentative="1">
      <w:start w:val="1"/>
      <w:numFmt w:val="lowerLetter"/>
      <w:lvlText w:val="%5."/>
      <w:lvlJc w:val="left"/>
      <w:pPr>
        <w:ind w:left="3666" w:hanging="360"/>
      </w:pPr>
    </w:lvl>
    <w:lvl w:ilvl="5" w:tplc="140A001B" w:tentative="1">
      <w:start w:val="1"/>
      <w:numFmt w:val="lowerRoman"/>
      <w:lvlText w:val="%6."/>
      <w:lvlJc w:val="right"/>
      <w:pPr>
        <w:ind w:left="4386" w:hanging="180"/>
      </w:pPr>
    </w:lvl>
    <w:lvl w:ilvl="6" w:tplc="140A000F" w:tentative="1">
      <w:start w:val="1"/>
      <w:numFmt w:val="decimal"/>
      <w:lvlText w:val="%7."/>
      <w:lvlJc w:val="left"/>
      <w:pPr>
        <w:ind w:left="5106" w:hanging="360"/>
      </w:pPr>
    </w:lvl>
    <w:lvl w:ilvl="7" w:tplc="140A0019" w:tentative="1">
      <w:start w:val="1"/>
      <w:numFmt w:val="lowerLetter"/>
      <w:lvlText w:val="%8."/>
      <w:lvlJc w:val="left"/>
      <w:pPr>
        <w:ind w:left="5826" w:hanging="360"/>
      </w:pPr>
    </w:lvl>
    <w:lvl w:ilvl="8" w:tplc="140A001B" w:tentative="1">
      <w:start w:val="1"/>
      <w:numFmt w:val="lowerRoman"/>
      <w:lvlText w:val="%9."/>
      <w:lvlJc w:val="right"/>
      <w:pPr>
        <w:ind w:left="6546" w:hanging="180"/>
      </w:pPr>
    </w:lvl>
  </w:abstractNum>
  <w:num w:numId="1">
    <w:abstractNumId w:val="4"/>
  </w:num>
  <w:num w:numId="2">
    <w:abstractNumId w:val="5"/>
  </w:num>
  <w:num w:numId="3">
    <w:abstractNumId w:val="7"/>
  </w:num>
  <w:num w:numId="4">
    <w:abstractNumId w:val="1"/>
  </w:num>
  <w:num w:numId="5">
    <w:abstractNumId w:val="2"/>
  </w:num>
  <w:num w:numId="6">
    <w:abstractNumId w:val="6"/>
  </w:num>
  <w:num w:numId="7">
    <w:abstractNumId w:val="0"/>
  </w:num>
  <w:num w:numId="8">
    <w:abstractNumId w:val="3"/>
  </w:num>
  <w:num w:numId="9">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09"/>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A93"/>
    <w:rsid w:val="00001F07"/>
    <w:rsid w:val="00002DD0"/>
    <w:rsid w:val="00003F70"/>
    <w:rsid w:val="00004CF9"/>
    <w:rsid w:val="00007E89"/>
    <w:rsid w:val="00010980"/>
    <w:rsid w:val="00014E33"/>
    <w:rsid w:val="00017364"/>
    <w:rsid w:val="000219AD"/>
    <w:rsid w:val="00021C63"/>
    <w:rsid w:val="0002439A"/>
    <w:rsid w:val="000246D3"/>
    <w:rsid w:val="00025CFD"/>
    <w:rsid w:val="000316EA"/>
    <w:rsid w:val="00033232"/>
    <w:rsid w:val="00034565"/>
    <w:rsid w:val="0004418E"/>
    <w:rsid w:val="00044B4C"/>
    <w:rsid w:val="000474DE"/>
    <w:rsid w:val="000474E7"/>
    <w:rsid w:val="0005129D"/>
    <w:rsid w:val="00051CAE"/>
    <w:rsid w:val="0005579D"/>
    <w:rsid w:val="0005722B"/>
    <w:rsid w:val="00057E08"/>
    <w:rsid w:val="000642A5"/>
    <w:rsid w:val="00065058"/>
    <w:rsid w:val="00066413"/>
    <w:rsid w:val="00071CE5"/>
    <w:rsid w:val="00073BE3"/>
    <w:rsid w:val="000747C4"/>
    <w:rsid w:val="000770A8"/>
    <w:rsid w:val="00085D4E"/>
    <w:rsid w:val="00086130"/>
    <w:rsid w:val="00086DD5"/>
    <w:rsid w:val="000900A2"/>
    <w:rsid w:val="00091091"/>
    <w:rsid w:val="00091D6D"/>
    <w:rsid w:val="000936B0"/>
    <w:rsid w:val="00094091"/>
    <w:rsid w:val="00095B79"/>
    <w:rsid w:val="000A0034"/>
    <w:rsid w:val="000A1B48"/>
    <w:rsid w:val="000A1C6B"/>
    <w:rsid w:val="000A63A7"/>
    <w:rsid w:val="000A6474"/>
    <w:rsid w:val="000B03FB"/>
    <w:rsid w:val="000B3D80"/>
    <w:rsid w:val="000B5E64"/>
    <w:rsid w:val="000B70FC"/>
    <w:rsid w:val="000C24EC"/>
    <w:rsid w:val="000C4712"/>
    <w:rsid w:val="000C4918"/>
    <w:rsid w:val="000C6280"/>
    <w:rsid w:val="000C6455"/>
    <w:rsid w:val="000C6754"/>
    <w:rsid w:val="000C782F"/>
    <w:rsid w:val="000C7AB3"/>
    <w:rsid w:val="000C7B97"/>
    <w:rsid w:val="000D127C"/>
    <w:rsid w:val="000D6775"/>
    <w:rsid w:val="000D6F45"/>
    <w:rsid w:val="000D7CDB"/>
    <w:rsid w:val="000E0D82"/>
    <w:rsid w:val="000E141A"/>
    <w:rsid w:val="000E18F8"/>
    <w:rsid w:val="000E408E"/>
    <w:rsid w:val="000E40C9"/>
    <w:rsid w:val="000E68CE"/>
    <w:rsid w:val="000F3343"/>
    <w:rsid w:val="000F5013"/>
    <w:rsid w:val="000F78F6"/>
    <w:rsid w:val="0010096D"/>
    <w:rsid w:val="0010567E"/>
    <w:rsid w:val="001141CF"/>
    <w:rsid w:val="0011588F"/>
    <w:rsid w:val="00115EB1"/>
    <w:rsid w:val="00117BB7"/>
    <w:rsid w:val="00120124"/>
    <w:rsid w:val="00122CCE"/>
    <w:rsid w:val="00123B6F"/>
    <w:rsid w:val="0013144C"/>
    <w:rsid w:val="00133412"/>
    <w:rsid w:val="001354EF"/>
    <w:rsid w:val="00136319"/>
    <w:rsid w:val="00136386"/>
    <w:rsid w:val="001365A9"/>
    <w:rsid w:val="001369A7"/>
    <w:rsid w:val="00142E53"/>
    <w:rsid w:val="00144DC8"/>
    <w:rsid w:val="001464FA"/>
    <w:rsid w:val="00151C33"/>
    <w:rsid w:val="00151EF2"/>
    <w:rsid w:val="00151F6C"/>
    <w:rsid w:val="001550C2"/>
    <w:rsid w:val="001554AB"/>
    <w:rsid w:val="00156FB0"/>
    <w:rsid w:val="00157A7A"/>
    <w:rsid w:val="00157FDD"/>
    <w:rsid w:val="00161363"/>
    <w:rsid w:val="00162ECC"/>
    <w:rsid w:val="00166B18"/>
    <w:rsid w:val="001728AD"/>
    <w:rsid w:val="001734F5"/>
    <w:rsid w:val="00174487"/>
    <w:rsid w:val="00181B1C"/>
    <w:rsid w:val="001826CC"/>
    <w:rsid w:val="001859BC"/>
    <w:rsid w:val="00191692"/>
    <w:rsid w:val="00191C29"/>
    <w:rsid w:val="00192661"/>
    <w:rsid w:val="001930BD"/>
    <w:rsid w:val="001944C9"/>
    <w:rsid w:val="001951B5"/>
    <w:rsid w:val="001963C5"/>
    <w:rsid w:val="00197E5D"/>
    <w:rsid w:val="001A1AE5"/>
    <w:rsid w:val="001A2930"/>
    <w:rsid w:val="001A3312"/>
    <w:rsid w:val="001A3BC6"/>
    <w:rsid w:val="001A4A9B"/>
    <w:rsid w:val="001A570E"/>
    <w:rsid w:val="001A7088"/>
    <w:rsid w:val="001A77EB"/>
    <w:rsid w:val="001B0B6C"/>
    <w:rsid w:val="001B1501"/>
    <w:rsid w:val="001B2D2B"/>
    <w:rsid w:val="001B318F"/>
    <w:rsid w:val="001B48F5"/>
    <w:rsid w:val="001B49BB"/>
    <w:rsid w:val="001B6F0F"/>
    <w:rsid w:val="001C7EDE"/>
    <w:rsid w:val="001D2F64"/>
    <w:rsid w:val="001D3296"/>
    <w:rsid w:val="001D683F"/>
    <w:rsid w:val="001D7998"/>
    <w:rsid w:val="001E3BA6"/>
    <w:rsid w:val="001E4BAA"/>
    <w:rsid w:val="001E4FE7"/>
    <w:rsid w:val="001E5104"/>
    <w:rsid w:val="001E5831"/>
    <w:rsid w:val="001E7A64"/>
    <w:rsid w:val="001F04C9"/>
    <w:rsid w:val="001F187F"/>
    <w:rsid w:val="001F1D92"/>
    <w:rsid w:val="001F3F5C"/>
    <w:rsid w:val="00201B60"/>
    <w:rsid w:val="00201E0C"/>
    <w:rsid w:val="002021D8"/>
    <w:rsid w:val="002033D4"/>
    <w:rsid w:val="00206D06"/>
    <w:rsid w:val="00215770"/>
    <w:rsid w:val="00216AC6"/>
    <w:rsid w:val="00216FEA"/>
    <w:rsid w:val="00224F93"/>
    <w:rsid w:val="002261E0"/>
    <w:rsid w:val="002323F4"/>
    <w:rsid w:val="002340E7"/>
    <w:rsid w:val="00234373"/>
    <w:rsid w:val="00240132"/>
    <w:rsid w:val="00240B66"/>
    <w:rsid w:val="00242C4B"/>
    <w:rsid w:val="00242D16"/>
    <w:rsid w:val="00245F3E"/>
    <w:rsid w:val="00251960"/>
    <w:rsid w:val="002526DB"/>
    <w:rsid w:val="00252C38"/>
    <w:rsid w:val="002539D6"/>
    <w:rsid w:val="00262C58"/>
    <w:rsid w:val="002633E2"/>
    <w:rsid w:val="00264D6F"/>
    <w:rsid w:val="0026542C"/>
    <w:rsid w:val="002664B6"/>
    <w:rsid w:val="0027219C"/>
    <w:rsid w:val="002746FA"/>
    <w:rsid w:val="0027633C"/>
    <w:rsid w:val="00276D74"/>
    <w:rsid w:val="00280B4B"/>
    <w:rsid w:val="00282205"/>
    <w:rsid w:val="00282DB5"/>
    <w:rsid w:val="00283E1E"/>
    <w:rsid w:val="00290803"/>
    <w:rsid w:val="00290A93"/>
    <w:rsid w:val="00291E8B"/>
    <w:rsid w:val="00294C7E"/>
    <w:rsid w:val="002971C2"/>
    <w:rsid w:val="002A097B"/>
    <w:rsid w:val="002A187C"/>
    <w:rsid w:val="002A237B"/>
    <w:rsid w:val="002A470C"/>
    <w:rsid w:val="002A4AE4"/>
    <w:rsid w:val="002A5131"/>
    <w:rsid w:val="002A5E69"/>
    <w:rsid w:val="002A6D44"/>
    <w:rsid w:val="002B09DE"/>
    <w:rsid w:val="002B24E5"/>
    <w:rsid w:val="002B3DA2"/>
    <w:rsid w:val="002B43B7"/>
    <w:rsid w:val="002B52E4"/>
    <w:rsid w:val="002B5B3E"/>
    <w:rsid w:val="002C13C1"/>
    <w:rsid w:val="002C2AAB"/>
    <w:rsid w:val="002C2F98"/>
    <w:rsid w:val="002C443C"/>
    <w:rsid w:val="002C6BD8"/>
    <w:rsid w:val="002D09EA"/>
    <w:rsid w:val="002D103D"/>
    <w:rsid w:val="002D4181"/>
    <w:rsid w:val="002D55D1"/>
    <w:rsid w:val="002E14FE"/>
    <w:rsid w:val="002E21B1"/>
    <w:rsid w:val="002E22DE"/>
    <w:rsid w:val="002E44B3"/>
    <w:rsid w:val="002E7DD4"/>
    <w:rsid w:val="002F3573"/>
    <w:rsid w:val="002F4A53"/>
    <w:rsid w:val="002F4EA5"/>
    <w:rsid w:val="002F526C"/>
    <w:rsid w:val="002F75F0"/>
    <w:rsid w:val="00304CB8"/>
    <w:rsid w:val="00305B79"/>
    <w:rsid w:val="00306733"/>
    <w:rsid w:val="00307EAA"/>
    <w:rsid w:val="00314438"/>
    <w:rsid w:val="003200D8"/>
    <w:rsid w:val="003253EA"/>
    <w:rsid w:val="00326670"/>
    <w:rsid w:val="00326F27"/>
    <w:rsid w:val="0033213C"/>
    <w:rsid w:val="00334BEC"/>
    <w:rsid w:val="00336339"/>
    <w:rsid w:val="003418C1"/>
    <w:rsid w:val="00341955"/>
    <w:rsid w:val="003464C0"/>
    <w:rsid w:val="0034727B"/>
    <w:rsid w:val="00350DA3"/>
    <w:rsid w:val="00350DCE"/>
    <w:rsid w:val="003510A8"/>
    <w:rsid w:val="00360F26"/>
    <w:rsid w:val="00366355"/>
    <w:rsid w:val="003673FA"/>
    <w:rsid w:val="00370207"/>
    <w:rsid w:val="00370CDF"/>
    <w:rsid w:val="00371011"/>
    <w:rsid w:val="0037117E"/>
    <w:rsid w:val="00372010"/>
    <w:rsid w:val="0037257E"/>
    <w:rsid w:val="003737A5"/>
    <w:rsid w:val="00373F89"/>
    <w:rsid w:val="0037420C"/>
    <w:rsid w:val="0038143A"/>
    <w:rsid w:val="00381A14"/>
    <w:rsid w:val="00383C0C"/>
    <w:rsid w:val="0038579F"/>
    <w:rsid w:val="003905C9"/>
    <w:rsid w:val="003946DA"/>
    <w:rsid w:val="00395227"/>
    <w:rsid w:val="00396033"/>
    <w:rsid w:val="003965E9"/>
    <w:rsid w:val="00396BC0"/>
    <w:rsid w:val="003A0D14"/>
    <w:rsid w:val="003A2A93"/>
    <w:rsid w:val="003A46CC"/>
    <w:rsid w:val="003A61C1"/>
    <w:rsid w:val="003A6CBD"/>
    <w:rsid w:val="003B076C"/>
    <w:rsid w:val="003B0F7D"/>
    <w:rsid w:val="003B48F4"/>
    <w:rsid w:val="003B50B2"/>
    <w:rsid w:val="003B6CFC"/>
    <w:rsid w:val="003B6FB3"/>
    <w:rsid w:val="003B7EF6"/>
    <w:rsid w:val="003C0269"/>
    <w:rsid w:val="003C039E"/>
    <w:rsid w:val="003C2994"/>
    <w:rsid w:val="003C5D1E"/>
    <w:rsid w:val="003C6682"/>
    <w:rsid w:val="003C6EC5"/>
    <w:rsid w:val="003D2F9A"/>
    <w:rsid w:val="003D5938"/>
    <w:rsid w:val="003E0F58"/>
    <w:rsid w:val="003E22F7"/>
    <w:rsid w:val="003E24CE"/>
    <w:rsid w:val="003E507C"/>
    <w:rsid w:val="003E631E"/>
    <w:rsid w:val="003E7B93"/>
    <w:rsid w:val="003F1E3A"/>
    <w:rsid w:val="003F39CD"/>
    <w:rsid w:val="003F3E4C"/>
    <w:rsid w:val="003F4788"/>
    <w:rsid w:val="003F553B"/>
    <w:rsid w:val="003F5A1C"/>
    <w:rsid w:val="003F5CFB"/>
    <w:rsid w:val="003F62CA"/>
    <w:rsid w:val="003F64B1"/>
    <w:rsid w:val="003F7295"/>
    <w:rsid w:val="003F7AC5"/>
    <w:rsid w:val="003F7E55"/>
    <w:rsid w:val="0040086B"/>
    <w:rsid w:val="004017C0"/>
    <w:rsid w:val="004066D4"/>
    <w:rsid w:val="0041199F"/>
    <w:rsid w:val="004123DD"/>
    <w:rsid w:val="0041325F"/>
    <w:rsid w:val="00413FF2"/>
    <w:rsid w:val="004158B7"/>
    <w:rsid w:val="00416E63"/>
    <w:rsid w:val="004170AD"/>
    <w:rsid w:val="00417778"/>
    <w:rsid w:val="0042132B"/>
    <w:rsid w:val="00421582"/>
    <w:rsid w:val="00423E0B"/>
    <w:rsid w:val="00423E7D"/>
    <w:rsid w:val="0042682A"/>
    <w:rsid w:val="004279BF"/>
    <w:rsid w:val="004303A3"/>
    <w:rsid w:val="0043176A"/>
    <w:rsid w:val="00433E4C"/>
    <w:rsid w:val="004355D1"/>
    <w:rsid w:val="004404BD"/>
    <w:rsid w:val="004405A9"/>
    <w:rsid w:val="004407B6"/>
    <w:rsid w:val="00440A9D"/>
    <w:rsid w:val="00442F1C"/>
    <w:rsid w:val="004462B3"/>
    <w:rsid w:val="00446437"/>
    <w:rsid w:val="004472F7"/>
    <w:rsid w:val="00447F2E"/>
    <w:rsid w:val="004506DA"/>
    <w:rsid w:val="0045175C"/>
    <w:rsid w:val="00451DCD"/>
    <w:rsid w:val="0045310A"/>
    <w:rsid w:val="00456E18"/>
    <w:rsid w:val="00460192"/>
    <w:rsid w:val="004611A7"/>
    <w:rsid w:val="0046245F"/>
    <w:rsid w:val="004631DC"/>
    <w:rsid w:val="00464824"/>
    <w:rsid w:val="004654DA"/>
    <w:rsid w:val="00471B41"/>
    <w:rsid w:val="00472A23"/>
    <w:rsid w:val="00473500"/>
    <w:rsid w:val="00480DC0"/>
    <w:rsid w:val="00483D7F"/>
    <w:rsid w:val="0048424C"/>
    <w:rsid w:val="0048469A"/>
    <w:rsid w:val="00485AF3"/>
    <w:rsid w:val="00485CC9"/>
    <w:rsid w:val="00486FE5"/>
    <w:rsid w:val="00491A33"/>
    <w:rsid w:val="00492A7A"/>
    <w:rsid w:val="00497489"/>
    <w:rsid w:val="004974DC"/>
    <w:rsid w:val="004A0B67"/>
    <w:rsid w:val="004A156F"/>
    <w:rsid w:val="004A26B1"/>
    <w:rsid w:val="004A2C5F"/>
    <w:rsid w:val="004A3264"/>
    <w:rsid w:val="004A3558"/>
    <w:rsid w:val="004A486B"/>
    <w:rsid w:val="004A6C90"/>
    <w:rsid w:val="004B205C"/>
    <w:rsid w:val="004B381A"/>
    <w:rsid w:val="004B408B"/>
    <w:rsid w:val="004B42DE"/>
    <w:rsid w:val="004B7770"/>
    <w:rsid w:val="004B7E43"/>
    <w:rsid w:val="004C00AB"/>
    <w:rsid w:val="004C082D"/>
    <w:rsid w:val="004C0BC0"/>
    <w:rsid w:val="004C1A01"/>
    <w:rsid w:val="004C4D1D"/>
    <w:rsid w:val="004C53E9"/>
    <w:rsid w:val="004C5591"/>
    <w:rsid w:val="004C6C9E"/>
    <w:rsid w:val="004D0B3B"/>
    <w:rsid w:val="004D0CF0"/>
    <w:rsid w:val="004D1AAF"/>
    <w:rsid w:val="004D2627"/>
    <w:rsid w:val="004D27F0"/>
    <w:rsid w:val="004D3C68"/>
    <w:rsid w:val="004D6CBF"/>
    <w:rsid w:val="004D6D28"/>
    <w:rsid w:val="004D7C2C"/>
    <w:rsid w:val="004E04A7"/>
    <w:rsid w:val="004E1861"/>
    <w:rsid w:val="004E1D50"/>
    <w:rsid w:val="004E292D"/>
    <w:rsid w:val="004E4308"/>
    <w:rsid w:val="004E4DA4"/>
    <w:rsid w:val="004E6390"/>
    <w:rsid w:val="004E6F5B"/>
    <w:rsid w:val="004F3FFF"/>
    <w:rsid w:val="005004F5"/>
    <w:rsid w:val="00501926"/>
    <w:rsid w:val="0050279B"/>
    <w:rsid w:val="00506331"/>
    <w:rsid w:val="00506E1B"/>
    <w:rsid w:val="005136A6"/>
    <w:rsid w:val="005139BD"/>
    <w:rsid w:val="00514D76"/>
    <w:rsid w:val="00517A97"/>
    <w:rsid w:val="0052186F"/>
    <w:rsid w:val="00521B15"/>
    <w:rsid w:val="005245E7"/>
    <w:rsid w:val="00525F51"/>
    <w:rsid w:val="0052738C"/>
    <w:rsid w:val="00527930"/>
    <w:rsid w:val="005325E7"/>
    <w:rsid w:val="0053294F"/>
    <w:rsid w:val="00532E35"/>
    <w:rsid w:val="00533AA0"/>
    <w:rsid w:val="00535244"/>
    <w:rsid w:val="0053647C"/>
    <w:rsid w:val="00536AC6"/>
    <w:rsid w:val="005377D5"/>
    <w:rsid w:val="005402B1"/>
    <w:rsid w:val="00540705"/>
    <w:rsid w:val="00542907"/>
    <w:rsid w:val="00545031"/>
    <w:rsid w:val="00545881"/>
    <w:rsid w:val="00546609"/>
    <w:rsid w:val="00552E9D"/>
    <w:rsid w:val="00560BB6"/>
    <w:rsid w:val="00562395"/>
    <w:rsid w:val="005625E1"/>
    <w:rsid w:val="005652C4"/>
    <w:rsid w:val="005661D3"/>
    <w:rsid w:val="005747BB"/>
    <w:rsid w:val="00574BCB"/>
    <w:rsid w:val="005751DB"/>
    <w:rsid w:val="00575616"/>
    <w:rsid w:val="00581440"/>
    <w:rsid w:val="0058156C"/>
    <w:rsid w:val="0058671F"/>
    <w:rsid w:val="00586A00"/>
    <w:rsid w:val="00587CCB"/>
    <w:rsid w:val="00590254"/>
    <w:rsid w:val="0059077D"/>
    <w:rsid w:val="00591A87"/>
    <w:rsid w:val="0059378E"/>
    <w:rsid w:val="0059427A"/>
    <w:rsid w:val="00596788"/>
    <w:rsid w:val="00596B87"/>
    <w:rsid w:val="005A21FC"/>
    <w:rsid w:val="005A3DD0"/>
    <w:rsid w:val="005A4344"/>
    <w:rsid w:val="005A64BF"/>
    <w:rsid w:val="005A6650"/>
    <w:rsid w:val="005A745B"/>
    <w:rsid w:val="005A7B1D"/>
    <w:rsid w:val="005A7DFA"/>
    <w:rsid w:val="005B0D56"/>
    <w:rsid w:val="005B2B70"/>
    <w:rsid w:val="005B511B"/>
    <w:rsid w:val="005B51FD"/>
    <w:rsid w:val="005B64B8"/>
    <w:rsid w:val="005B6B76"/>
    <w:rsid w:val="005B7CEA"/>
    <w:rsid w:val="005C33BD"/>
    <w:rsid w:val="005C38D1"/>
    <w:rsid w:val="005C4442"/>
    <w:rsid w:val="005C4B63"/>
    <w:rsid w:val="005C6504"/>
    <w:rsid w:val="005C6973"/>
    <w:rsid w:val="005C7FE7"/>
    <w:rsid w:val="005D198A"/>
    <w:rsid w:val="005D1F3F"/>
    <w:rsid w:val="005D23C5"/>
    <w:rsid w:val="005E28F8"/>
    <w:rsid w:val="005E3F0A"/>
    <w:rsid w:val="005E4DC0"/>
    <w:rsid w:val="005E51A2"/>
    <w:rsid w:val="005E53A6"/>
    <w:rsid w:val="005E6906"/>
    <w:rsid w:val="005E6A94"/>
    <w:rsid w:val="005E6FD2"/>
    <w:rsid w:val="005E7AEB"/>
    <w:rsid w:val="005F06C2"/>
    <w:rsid w:val="005F28B4"/>
    <w:rsid w:val="005F363E"/>
    <w:rsid w:val="005F4865"/>
    <w:rsid w:val="005F61B4"/>
    <w:rsid w:val="00604457"/>
    <w:rsid w:val="00604649"/>
    <w:rsid w:val="00606B98"/>
    <w:rsid w:val="00612BFC"/>
    <w:rsid w:val="006138B8"/>
    <w:rsid w:val="006145F4"/>
    <w:rsid w:val="00614B22"/>
    <w:rsid w:val="00615A77"/>
    <w:rsid w:val="00616715"/>
    <w:rsid w:val="0061783A"/>
    <w:rsid w:val="00617A4E"/>
    <w:rsid w:val="00617BC4"/>
    <w:rsid w:val="006203F2"/>
    <w:rsid w:val="0062069D"/>
    <w:rsid w:val="00620F86"/>
    <w:rsid w:val="006229B9"/>
    <w:rsid w:val="00622E76"/>
    <w:rsid w:val="00622FA4"/>
    <w:rsid w:val="0062379A"/>
    <w:rsid w:val="00624890"/>
    <w:rsid w:val="00624BD1"/>
    <w:rsid w:val="00624DAA"/>
    <w:rsid w:val="006268F7"/>
    <w:rsid w:val="00627216"/>
    <w:rsid w:val="00631F18"/>
    <w:rsid w:val="006320E3"/>
    <w:rsid w:val="00632198"/>
    <w:rsid w:val="00635081"/>
    <w:rsid w:val="006367DF"/>
    <w:rsid w:val="00636C30"/>
    <w:rsid w:val="00637A13"/>
    <w:rsid w:val="00637CBD"/>
    <w:rsid w:val="006415F7"/>
    <w:rsid w:val="006441BE"/>
    <w:rsid w:val="00645468"/>
    <w:rsid w:val="0064749E"/>
    <w:rsid w:val="0065185E"/>
    <w:rsid w:val="006518D5"/>
    <w:rsid w:val="006526EF"/>
    <w:rsid w:val="00653450"/>
    <w:rsid w:val="006543C8"/>
    <w:rsid w:val="00657B18"/>
    <w:rsid w:val="00660705"/>
    <w:rsid w:val="00661E60"/>
    <w:rsid w:val="006636EB"/>
    <w:rsid w:val="00664C14"/>
    <w:rsid w:val="006651BE"/>
    <w:rsid w:val="006652DA"/>
    <w:rsid w:val="00676D48"/>
    <w:rsid w:val="00677BC2"/>
    <w:rsid w:val="00681422"/>
    <w:rsid w:val="006830DE"/>
    <w:rsid w:val="006837A8"/>
    <w:rsid w:val="006850F3"/>
    <w:rsid w:val="006876C8"/>
    <w:rsid w:val="006878A1"/>
    <w:rsid w:val="00687A7A"/>
    <w:rsid w:val="00690617"/>
    <w:rsid w:val="00694571"/>
    <w:rsid w:val="006972F8"/>
    <w:rsid w:val="006A332D"/>
    <w:rsid w:val="006A3787"/>
    <w:rsid w:val="006A3CC1"/>
    <w:rsid w:val="006A76B2"/>
    <w:rsid w:val="006B08AC"/>
    <w:rsid w:val="006B1083"/>
    <w:rsid w:val="006B193A"/>
    <w:rsid w:val="006B1C57"/>
    <w:rsid w:val="006B2F8F"/>
    <w:rsid w:val="006B33D0"/>
    <w:rsid w:val="006B3B5A"/>
    <w:rsid w:val="006B4DBC"/>
    <w:rsid w:val="006B5BD5"/>
    <w:rsid w:val="006C06C7"/>
    <w:rsid w:val="006C1733"/>
    <w:rsid w:val="006C364A"/>
    <w:rsid w:val="006C3AF0"/>
    <w:rsid w:val="006C5E0C"/>
    <w:rsid w:val="006C6C50"/>
    <w:rsid w:val="006C7C64"/>
    <w:rsid w:val="006D0E64"/>
    <w:rsid w:val="006D15D9"/>
    <w:rsid w:val="006D2528"/>
    <w:rsid w:val="006D43F1"/>
    <w:rsid w:val="006D508D"/>
    <w:rsid w:val="006D527A"/>
    <w:rsid w:val="006D5A6C"/>
    <w:rsid w:val="006D5B74"/>
    <w:rsid w:val="006D7B9F"/>
    <w:rsid w:val="006E0571"/>
    <w:rsid w:val="006E3FDC"/>
    <w:rsid w:val="006E54B9"/>
    <w:rsid w:val="006E6A56"/>
    <w:rsid w:val="006E71A7"/>
    <w:rsid w:val="006F0854"/>
    <w:rsid w:val="006F1A34"/>
    <w:rsid w:val="006F6116"/>
    <w:rsid w:val="0070000F"/>
    <w:rsid w:val="007030B4"/>
    <w:rsid w:val="007042A8"/>
    <w:rsid w:val="007047A6"/>
    <w:rsid w:val="007069F9"/>
    <w:rsid w:val="00710127"/>
    <w:rsid w:val="0071214E"/>
    <w:rsid w:val="00715DE0"/>
    <w:rsid w:val="00720277"/>
    <w:rsid w:val="0072251F"/>
    <w:rsid w:val="007240DA"/>
    <w:rsid w:val="007259E3"/>
    <w:rsid w:val="007275E2"/>
    <w:rsid w:val="0073056B"/>
    <w:rsid w:val="007305FF"/>
    <w:rsid w:val="0073094E"/>
    <w:rsid w:val="00735EB7"/>
    <w:rsid w:val="007375AC"/>
    <w:rsid w:val="007377B4"/>
    <w:rsid w:val="0074683D"/>
    <w:rsid w:val="00746F43"/>
    <w:rsid w:val="007528D4"/>
    <w:rsid w:val="00753345"/>
    <w:rsid w:val="00753ECA"/>
    <w:rsid w:val="007547B4"/>
    <w:rsid w:val="007555DF"/>
    <w:rsid w:val="00755868"/>
    <w:rsid w:val="0075753D"/>
    <w:rsid w:val="007649B5"/>
    <w:rsid w:val="007649C7"/>
    <w:rsid w:val="00764FE7"/>
    <w:rsid w:val="007664C0"/>
    <w:rsid w:val="00770167"/>
    <w:rsid w:val="0077602B"/>
    <w:rsid w:val="00776D00"/>
    <w:rsid w:val="0078084E"/>
    <w:rsid w:val="00781D06"/>
    <w:rsid w:val="00784044"/>
    <w:rsid w:val="00784620"/>
    <w:rsid w:val="00784E04"/>
    <w:rsid w:val="0078582A"/>
    <w:rsid w:val="00787E4D"/>
    <w:rsid w:val="00793CDF"/>
    <w:rsid w:val="00796CD4"/>
    <w:rsid w:val="00797B5B"/>
    <w:rsid w:val="00797B7A"/>
    <w:rsid w:val="007A0159"/>
    <w:rsid w:val="007A246B"/>
    <w:rsid w:val="007A5AA5"/>
    <w:rsid w:val="007A5D9F"/>
    <w:rsid w:val="007A6005"/>
    <w:rsid w:val="007A7E4D"/>
    <w:rsid w:val="007B17AD"/>
    <w:rsid w:val="007B30FC"/>
    <w:rsid w:val="007B67CD"/>
    <w:rsid w:val="007B6A72"/>
    <w:rsid w:val="007C204E"/>
    <w:rsid w:val="007C30F2"/>
    <w:rsid w:val="007C3F60"/>
    <w:rsid w:val="007C5478"/>
    <w:rsid w:val="007C55F8"/>
    <w:rsid w:val="007D06FF"/>
    <w:rsid w:val="007D0C57"/>
    <w:rsid w:val="007D0F13"/>
    <w:rsid w:val="007D2ABE"/>
    <w:rsid w:val="007D3868"/>
    <w:rsid w:val="007D5A8D"/>
    <w:rsid w:val="007D6085"/>
    <w:rsid w:val="007E1A9C"/>
    <w:rsid w:val="007E1BC4"/>
    <w:rsid w:val="007E2598"/>
    <w:rsid w:val="007E26BF"/>
    <w:rsid w:val="007E2F03"/>
    <w:rsid w:val="007E3ADA"/>
    <w:rsid w:val="007E6625"/>
    <w:rsid w:val="007F09A0"/>
    <w:rsid w:val="007F0AED"/>
    <w:rsid w:val="007F6930"/>
    <w:rsid w:val="00800870"/>
    <w:rsid w:val="00800DAF"/>
    <w:rsid w:val="008018DE"/>
    <w:rsid w:val="00801B75"/>
    <w:rsid w:val="00802132"/>
    <w:rsid w:val="008035EB"/>
    <w:rsid w:val="008045CF"/>
    <w:rsid w:val="00805639"/>
    <w:rsid w:val="008076CC"/>
    <w:rsid w:val="00807E44"/>
    <w:rsid w:val="008102F6"/>
    <w:rsid w:val="008125AD"/>
    <w:rsid w:val="0081325E"/>
    <w:rsid w:val="00813A0C"/>
    <w:rsid w:val="008179D1"/>
    <w:rsid w:val="00821AC0"/>
    <w:rsid w:val="008264F2"/>
    <w:rsid w:val="0082785F"/>
    <w:rsid w:val="008329D9"/>
    <w:rsid w:val="00833454"/>
    <w:rsid w:val="008348F2"/>
    <w:rsid w:val="00836C1D"/>
    <w:rsid w:val="00836D76"/>
    <w:rsid w:val="008371CE"/>
    <w:rsid w:val="00840D3F"/>
    <w:rsid w:val="00842037"/>
    <w:rsid w:val="0084212E"/>
    <w:rsid w:val="008423BB"/>
    <w:rsid w:val="008424E2"/>
    <w:rsid w:val="00842E15"/>
    <w:rsid w:val="008460F3"/>
    <w:rsid w:val="008478C4"/>
    <w:rsid w:val="00850D23"/>
    <w:rsid w:val="00851149"/>
    <w:rsid w:val="00851CA9"/>
    <w:rsid w:val="00852A23"/>
    <w:rsid w:val="00852AA5"/>
    <w:rsid w:val="00854AD4"/>
    <w:rsid w:val="008562C1"/>
    <w:rsid w:val="00856833"/>
    <w:rsid w:val="00856FDE"/>
    <w:rsid w:val="00857C7A"/>
    <w:rsid w:val="008608BA"/>
    <w:rsid w:val="00860C85"/>
    <w:rsid w:val="00861406"/>
    <w:rsid w:val="008638F2"/>
    <w:rsid w:val="00865BFB"/>
    <w:rsid w:val="00867628"/>
    <w:rsid w:val="00867718"/>
    <w:rsid w:val="00871526"/>
    <w:rsid w:val="00872F3E"/>
    <w:rsid w:val="00876E9D"/>
    <w:rsid w:val="00881290"/>
    <w:rsid w:val="0088138A"/>
    <w:rsid w:val="00882867"/>
    <w:rsid w:val="0088311A"/>
    <w:rsid w:val="00885C16"/>
    <w:rsid w:val="0088648F"/>
    <w:rsid w:val="008912DE"/>
    <w:rsid w:val="0089274E"/>
    <w:rsid w:val="00895917"/>
    <w:rsid w:val="00896529"/>
    <w:rsid w:val="00896D20"/>
    <w:rsid w:val="00897470"/>
    <w:rsid w:val="008A35C9"/>
    <w:rsid w:val="008A5524"/>
    <w:rsid w:val="008A7737"/>
    <w:rsid w:val="008A7DF4"/>
    <w:rsid w:val="008B0BC2"/>
    <w:rsid w:val="008B1258"/>
    <w:rsid w:val="008B48E3"/>
    <w:rsid w:val="008B4986"/>
    <w:rsid w:val="008B66E6"/>
    <w:rsid w:val="008C274C"/>
    <w:rsid w:val="008C2AC6"/>
    <w:rsid w:val="008C3996"/>
    <w:rsid w:val="008C6266"/>
    <w:rsid w:val="008C791E"/>
    <w:rsid w:val="008D02DF"/>
    <w:rsid w:val="008D0F33"/>
    <w:rsid w:val="008D3E24"/>
    <w:rsid w:val="008D4679"/>
    <w:rsid w:val="008D49A9"/>
    <w:rsid w:val="008E1F82"/>
    <w:rsid w:val="008E30D9"/>
    <w:rsid w:val="008E79EC"/>
    <w:rsid w:val="008F0075"/>
    <w:rsid w:val="008F1BDD"/>
    <w:rsid w:val="008F24AA"/>
    <w:rsid w:val="008F2B09"/>
    <w:rsid w:val="008F3793"/>
    <w:rsid w:val="008F6991"/>
    <w:rsid w:val="00901072"/>
    <w:rsid w:val="00902A35"/>
    <w:rsid w:val="00903BE1"/>
    <w:rsid w:val="00904B4E"/>
    <w:rsid w:val="00906983"/>
    <w:rsid w:val="009106AF"/>
    <w:rsid w:val="009122AD"/>
    <w:rsid w:val="0091411A"/>
    <w:rsid w:val="00916168"/>
    <w:rsid w:val="00920844"/>
    <w:rsid w:val="0092217E"/>
    <w:rsid w:val="009224CA"/>
    <w:rsid w:val="00925BE9"/>
    <w:rsid w:val="00925C47"/>
    <w:rsid w:val="0093270D"/>
    <w:rsid w:val="00932734"/>
    <w:rsid w:val="00933B81"/>
    <w:rsid w:val="00933E03"/>
    <w:rsid w:val="0093669A"/>
    <w:rsid w:val="00941577"/>
    <w:rsid w:val="0094458D"/>
    <w:rsid w:val="009457E8"/>
    <w:rsid w:val="00945AA4"/>
    <w:rsid w:val="00946586"/>
    <w:rsid w:val="009474FA"/>
    <w:rsid w:val="0095259E"/>
    <w:rsid w:val="0095450A"/>
    <w:rsid w:val="00961547"/>
    <w:rsid w:val="0096402C"/>
    <w:rsid w:val="009648B3"/>
    <w:rsid w:val="00967896"/>
    <w:rsid w:val="00972BE2"/>
    <w:rsid w:val="00974E40"/>
    <w:rsid w:val="0097535F"/>
    <w:rsid w:val="00980314"/>
    <w:rsid w:val="00980F0E"/>
    <w:rsid w:val="0098549D"/>
    <w:rsid w:val="009863AE"/>
    <w:rsid w:val="00986BEC"/>
    <w:rsid w:val="00987360"/>
    <w:rsid w:val="009906AC"/>
    <w:rsid w:val="00991B6A"/>
    <w:rsid w:val="0099202E"/>
    <w:rsid w:val="00992689"/>
    <w:rsid w:val="0099372C"/>
    <w:rsid w:val="00995EE6"/>
    <w:rsid w:val="00996359"/>
    <w:rsid w:val="009A082A"/>
    <w:rsid w:val="009A10E2"/>
    <w:rsid w:val="009A1172"/>
    <w:rsid w:val="009A1203"/>
    <w:rsid w:val="009A1B61"/>
    <w:rsid w:val="009A3C2B"/>
    <w:rsid w:val="009A516F"/>
    <w:rsid w:val="009A56C4"/>
    <w:rsid w:val="009B0677"/>
    <w:rsid w:val="009B0821"/>
    <w:rsid w:val="009B10B6"/>
    <w:rsid w:val="009B3C14"/>
    <w:rsid w:val="009B3EF8"/>
    <w:rsid w:val="009B476C"/>
    <w:rsid w:val="009B78C1"/>
    <w:rsid w:val="009B7BA1"/>
    <w:rsid w:val="009C0B8A"/>
    <w:rsid w:val="009C23DA"/>
    <w:rsid w:val="009C2A0F"/>
    <w:rsid w:val="009C4A13"/>
    <w:rsid w:val="009C6425"/>
    <w:rsid w:val="009C7221"/>
    <w:rsid w:val="009C79C0"/>
    <w:rsid w:val="009D0C34"/>
    <w:rsid w:val="009D1998"/>
    <w:rsid w:val="009D1E29"/>
    <w:rsid w:val="009D3A34"/>
    <w:rsid w:val="009D4235"/>
    <w:rsid w:val="009D4BB5"/>
    <w:rsid w:val="009D5D1E"/>
    <w:rsid w:val="009D5F1F"/>
    <w:rsid w:val="009D7606"/>
    <w:rsid w:val="009E05EB"/>
    <w:rsid w:val="009E7D88"/>
    <w:rsid w:val="009F10AF"/>
    <w:rsid w:val="009F436D"/>
    <w:rsid w:val="009F4F57"/>
    <w:rsid w:val="009F5B44"/>
    <w:rsid w:val="009F6D82"/>
    <w:rsid w:val="009F6E4E"/>
    <w:rsid w:val="00A02756"/>
    <w:rsid w:val="00A04AE1"/>
    <w:rsid w:val="00A110D4"/>
    <w:rsid w:val="00A12A7F"/>
    <w:rsid w:val="00A16878"/>
    <w:rsid w:val="00A16FD3"/>
    <w:rsid w:val="00A175DC"/>
    <w:rsid w:val="00A17B57"/>
    <w:rsid w:val="00A17E55"/>
    <w:rsid w:val="00A2047E"/>
    <w:rsid w:val="00A20BAE"/>
    <w:rsid w:val="00A21BB0"/>
    <w:rsid w:val="00A21D22"/>
    <w:rsid w:val="00A22C1A"/>
    <w:rsid w:val="00A270C7"/>
    <w:rsid w:val="00A2794F"/>
    <w:rsid w:val="00A36D16"/>
    <w:rsid w:val="00A400C2"/>
    <w:rsid w:val="00A42771"/>
    <w:rsid w:val="00A44C67"/>
    <w:rsid w:val="00A450AA"/>
    <w:rsid w:val="00A45740"/>
    <w:rsid w:val="00A466B6"/>
    <w:rsid w:val="00A47CE2"/>
    <w:rsid w:val="00A505BA"/>
    <w:rsid w:val="00A52237"/>
    <w:rsid w:val="00A53087"/>
    <w:rsid w:val="00A54131"/>
    <w:rsid w:val="00A56F68"/>
    <w:rsid w:val="00A57FBE"/>
    <w:rsid w:val="00A57FEB"/>
    <w:rsid w:val="00A60008"/>
    <w:rsid w:val="00A60643"/>
    <w:rsid w:val="00A60BA2"/>
    <w:rsid w:val="00A60E04"/>
    <w:rsid w:val="00A633AB"/>
    <w:rsid w:val="00A65063"/>
    <w:rsid w:val="00A66358"/>
    <w:rsid w:val="00A71594"/>
    <w:rsid w:val="00A71DA6"/>
    <w:rsid w:val="00A73781"/>
    <w:rsid w:val="00A7467E"/>
    <w:rsid w:val="00A75841"/>
    <w:rsid w:val="00A7693C"/>
    <w:rsid w:val="00A8070A"/>
    <w:rsid w:val="00A80898"/>
    <w:rsid w:val="00A81CC2"/>
    <w:rsid w:val="00A82047"/>
    <w:rsid w:val="00A828EA"/>
    <w:rsid w:val="00A82B85"/>
    <w:rsid w:val="00A8506A"/>
    <w:rsid w:val="00A86460"/>
    <w:rsid w:val="00A91907"/>
    <w:rsid w:val="00A9495A"/>
    <w:rsid w:val="00A955E1"/>
    <w:rsid w:val="00A973BF"/>
    <w:rsid w:val="00A97636"/>
    <w:rsid w:val="00AA03D3"/>
    <w:rsid w:val="00AA2F4B"/>
    <w:rsid w:val="00AB0C5B"/>
    <w:rsid w:val="00AB11B2"/>
    <w:rsid w:val="00AB452E"/>
    <w:rsid w:val="00AB4DE8"/>
    <w:rsid w:val="00AB5C47"/>
    <w:rsid w:val="00AB5F06"/>
    <w:rsid w:val="00AC17F3"/>
    <w:rsid w:val="00AC195B"/>
    <w:rsid w:val="00AC438A"/>
    <w:rsid w:val="00AC63E3"/>
    <w:rsid w:val="00AC7F4E"/>
    <w:rsid w:val="00AD329C"/>
    <w:rsid w:val="00AD5FA5"/>
    <w:rsid w:val="00AD5FAB"/>
    <w:rsid w:val="00AE0283"/>
    <w:rsid w:val="00AE096A"/>
    <w:rsid w:val="00AE0C49"/>
    <w:rsid w:val="00AE32AC"/>
    <w:rsid w:val="00AE4283"/>
    <w:rsid w:val="00AE5FBA"/>
    <w:rsid w:val="00AE76BC"/>
    <w:rsid w:val="00AF3722"/>
    <w:rsid w:val="00B00059"/>
    <w:rsid w:val="00B01EA9"/>
    <w:rsid w:val="00B06CAB"/>
    <w:rsid w:val="00B1051A"/>
    <w:rsid w:val="00B13617"/>
    <w:rsid w:val="00B14C8F"/>
    <w:rsid w:val="00B14FE4"/>
    <w:rsid w:val="00B16589"/>
    <w:rsid w:val="00B22CA6"/>
    <w:rsid w:val="00B22E7A"/>
    <w:rsid w:val="00B276E6"/>
    <w:rsid w:val="00B27837"/>
    <w:rsid w:val="00B32AF1"/>
    <w:rsid w:val="00B3387D"/>
    <w:rsid w:val="00B33FAF"/>
    <w:rsid w:val="00B364B4"/>
    <w:rsid w:val="00B36D8A"/>
    <w:rsid w:val="00B37085"/>
    <w:rsid w:val="00B409BD"/>
    <w:rsid w:val="00B443F4"/>
    <w:rsid w:val="00B44E32"/>
    <w:rsid w:val="00B45194"/>
    <w:rsid w:val="00B45F61"/>
    <w:rsid w:val="00B46AEF"/>
    <w:rsid w:val="00B46E9E"/>
    <w:rsid w:val="00B47D5E"/>
    <w:rsid w:val="00B47DD0"/>
    <w:rsid w:val="00B5090E"/>
    <w:rsid w:val="00B51B65"/>
    <w:rsid w:val="00B53C1B"/>
    <w:rsid w:val="00B54D48"/>
    <w:rsid w:val="00B5736A"/>
    <w:rsid w:val="00B57686"/>
    <w:rsid w:val="00B57987"/>
    <w:rsid w:val="00B606BB"/>
    <w:rsid w:val="00B60FC5"/>
    <w:rsid w:val="00B63ABE"/>
    <w:rsid w:val="00B64142"/>
    <w:rsid w:val="00B65B20"/>
    <w:rsid w:val="00B702F0"/>
    <w:rsid w:val="00B71846"/>
    <w:rsid w:val="00B71ADF"/>
    <w:rsid w:val="00B72392"/>
    <w:rsid w:val="00B72703"/>
    <w:rsid w:val="00B72EF2"/>
    <w:rsid w:val="00B7407C"/>
    <w:rsid w:val="00B747BD"/>
    <w:rsid w:val="00B80266"/>
    <w:rsid w:val="00B80C7E"/>
    <w:rsid w:val="00B833FF"/>
    <w:rsid w:val="00B86082"/>
    <w:rsid w:val="00B8691A"/>
    <w:rsid w:val="00B90AC0"/>
    <w:rsid w:val="00B90DC9"/>
    <w:rsid w:val="00B94937"/>
    <w:rsid w:val="00B960AB"/>
    <w:rsid w:val="00B96A60"/>
    <w:rsid w:val="00B97D9C"/>
    <w:rsid w:val="00BA144C"/>
    <w:rsid w:val="00BA154D"/>
    <w:rsid w:val="00BA1715"/>
    <w:rsid w:val="00BA36EA"/>
    <w:rsid w:val="00BA5856"/>
    <w:rsid w:val="00BA609E"/>
    <w:rsid w:val="00BA723E"/>
    <w:rsid w:val="00BA7DB9"/>
    <w:rsid w:val="00BB30D4"/>
    <w:rsid w:val="00BB679E"/>
    <w:rsid w:val="00BB7D5B"/>
    <w:rsid w:val="00BD2966"/>
    <w:rsid w:val="00BD2C53"/>
    <w:rsid w:val="00BD307A"/>
    <w:rsid w:val="00BD54F1"/>
    <w:rsid w:val="00BD5D1C"/>
    <w:rsid w:val="00BD5D46"/>
    <w:rsid w:val="00BE284B"/>
    <w:rsid w:val="00BE2EAA"/>
    <w:rsid w:val="00BE648E"/>
    <w:rsid w:val="00BE7F59"/>
    <w:rsid w:val="00BF303D"/>
    <w:rsid w:val="00BF56D4"/>
    <w:rsid w:val="00BF689D"/>
    <w:rsid w:val="00BF6FDA"/>
    <w:rsid w:val="00BF71F6"/>
    <w:rsid w:val="00C018BE"/>
    <w:rsid w:val="00C01D3F"/>
    <w:rsid w:val="00C0221B"/>
    <w:rsid w:val="00C0465A"/>
    <w:rsid w:val="00C14544"/>
    <w:rsid w:val="00C15500"/>
    <w:rsid w:val="00C17AAE"/>
    <w:rsid w:val="00C20114"/>
    <w:rsid w:val="00C21E64"/>
    <w:rsid w:val="00C2383B"/>
    <w:rsid w:val="00C2417E"/>
    <w:rsid w:val="00C24429"/>
    <w:rsid w:val="00C33D7E"/>
    <w:rsid w:val="00C35AAA"/>
    <w:rsid w:val="00C36049"/>
    <w:rsid w:val="00C37763"/>
    <w:rsid w:val="00C37CF2"/>
    <w:rsid w:val="00C42EA7"/>
    <w:rsid w:val="00C46FB0"/>
    <w:rsid w:val="00C5092F"/>
    <w:rsid w:val="00C51B3B"/>
    <w:rsid w:val="00C51D96"/>
    <w:rsid w:val="00C5255A"/>
    <w:rsid w:val="00C52B96"/>
    <w:rsid w:val="00C5446D"/>
    <w:rsid w:val="00C55801"/>
    <w:rsid w:val="00C5798C"/>
    <w:rsid w:val="00C61A0E"/>
    <w:rsid w:val="00C61C85"/>
    <w:rsid w:val="00C62CD6"/>
    <w:rsid w:val="00C63084"/>
    <w:rsid w:val="00C63B22"/>
    <w:rsid w:val="00C6629E"/>
    <w:rsid w:val="00C70743"/>
    <w:rsid w:val="00C7285D"/>
    <w:rsid w:val="00C76028"/>
    <w:rsid w:val="00C775CC"/>
    <w:rsid w:val="00C77BD1"/>
    <w:rsid w:val="00C82977"/>
    <w:rsid w:val="00C82CF2"/>
    <w:rsid w:val="00C8470C"/>
    <w:rsid w:val="00C85B21"/>
    <w:rsid w:val="00C873F9"/>
    <w:rsid w:val="00C908AA"/>
    <w:rsid w:val="00C944C7"/>
    <w:rsid w:val="00C97D98"/>
    <w:rsid w:val="00CB07B4"/>
    <w:rsid w:val="00CB0EA1"/>
    <w:rsid w:val="00CB11E4"/>
    <w:rsid w:val="00CB1D7C"/>
    <w:rsid w:val="00CB2ACA"/>
    <w:rsid w:val="00CB3930"/>
    <w:rsid w:val="00CB5B34"/>
    <w:rsid w:val="00CB6CCE"/>
    <w:rsid w:val="00CB6DF2"/>
    <w:rsid w:val="00CC0313"/>
    <w:rsid w:val="00CC13B1"/>
    <w:rsid w:val="00CC24B6"/>
    <w:rsid w:val="00CC2778"/>
    <w:rsid w:val="00CC4916"/>
    <w:rsid w:val="00CC7069"/>
    <w:rsid w:val="00CD089A"/>
    <w:rsid w:val="00CD135B"/>
    <w:rsid w:val="00CD1A1B"/>
    <w:rsid w:val="00CD3821"/>
    <w:rsid w:val="00CD3E1B"/>
    <w:rsid w:val="00CD62D8"/>
    <w:rsid w:val="00CD6D82"/>
    <w:rsid w:val="00CE0439"/>
    <w:rsid w:val="00CE2D22"/>
    <w:rsid w:val="00CE4686"/>
    <w:rsid w:val="00CE46BE"/>
    <w:rsid w:val="00CE4F45"/>
    <w:rsid w:val="00CE55F0"/>
    <w:rsid w:val="00CE6DA9"/>
    <w:rsid w:val="00CE765B"/>
    <w:rsid w:val="00CE7D7C"/>
    <w:rsid w:val="00CE7EE0"/>
    <w:rsid w:val="00CF0C4F"/>
    <w:rsid w:val="00CF242E"/>
    <w:rsid w:val="00CF2616"/>
    <w:rsid w:val="00CF2F9E"/>
    <w:rsid w:val="00CF32B9"/>
    <w:rsid w:val="00CF33EC"/>
    <w:rsid w:val="00CF5F64"/>
    <w:rsid w:val="00D00043"/>
    <w:rsid w:val="00D001C3"/>
    <w:rsid w:val="00D01864"/>
    <w:rsid w:val="00D03907"/>
    <w:rsid w:val="00D05857"/>
    <w:rsid w:val="00D0589B"/>
    <w:rsid w:val="00D116A6"/>
    <w:rsid w:val="00D1534C"/>
    <w:rsid w:val="00D15C57"/>
    <w:rsid w:val="00D16618"/>
    <w:rsid w:val="00D1799E"/>
    <w:rsid w:val="00D201EA"/>
    <w:rsid w:val="00D20C6B"/>
    <w:rsid w:val="00D21B9B"/>
    <w:rsid w:val="00D23863"/>
    <w:rsid w:val="00D23C39"/>
    <w:rsid w:val="00D23D14"/>
    <w:rsid w:val="00D2649E"/>
    <w:rsid w:val="00D317FD"/>
    <w:rsid w:val="00D33020"/>
    <w:rsid w:val="00D34AC4"/>
    <w:rsid w:val="00D34F74"/>
    <w:rsid w:val="00D36BA2"/>
    <w:rsid w:val="00D370A6"/>
    <w:rsid w:val="00D373E7"/>
    <w:rsid w:val="00D37F6E"/>
    <w:rsid w:val="00D402E3"/>
    <w:rsid w:val="00D43ACC"/>
    <w:rsid w:val="00D44006"/>
    <w:rsid w:val="00D452CA"/>
    <w:rsid w:val="00D47728"/>
    <w:rsid w:val="00D477D5"/>
    <w:rsid w:val="00D51DCB"/>
    <w:rsid w:val="00D539D1"/>
    <w:rsid w:val="00D5610F"/>
    <w:rsid w:val="00D56D17"/>
    <w:rsid w:val="00D56F0B"/>
    <w:rsid w:val="00D6214D"/>
    <w:rsid w:val="00D63F01"/>
    <w:rsid w:val="00D6438A"/>
    <w:rsid w:val="00D65448"/>
    <w:rsid w:val="00D72E9E"/>
    <w:rsid w:val="00D734EC"/>
    <w:rsid w:val="00D74098"/>
    <w:rsid w:val="00D7495B"/>
    <w:rsid w:val="00D753D6"/>
    <w:rsid w:val="00D775AF"/>
    <w:rsid w:val="00D77CF1"/>
    <w:rsid w:val="00D810BB"/>
    <w:rsid w:val="00D826AE"/>
    <w:rsid w:val="00D82781"/>
    <w:rsid w:val="00D845CA"/>
    <w:rsid w:val="00D85F9A"/>
    <w:rsid w:val="00D86E59"/>
    <w:rsid w:val="00D9002E"/>
    <w:rsid w:val="00D9179B"/>
    <w:rsid w:val="00D91DE9"/>
    <w:rsid w:val="00D945FE"/>
    <w:rsid w:val="00D97DF9"/>
    <w:rsid w:val="00DA0FF1"/>
    <w:rsid w:val="00DA2EB1"/>
    <w:rsid w:val="00DA3322"/>
    <w:rsid w:val="00DA3B4D"/>
    <w:rsid w:val="00DB0657"/>
    <w:rsid w:val="00DB267F"/>
    <w:rsid w:val="00DB3A16"/>
    <w:rsid w:val="00DB7659"/>
    <w:rsid w:val="00DC061C"/>
    <w:rsid w:val="00DC4D05"/>
    <w:rsid w:val="00DC6253"/>
    <w:rsid w:val="00DC6C44"/>
    <w:rsid w:val="00DC6D11"/>
    <w:rsid w:val="00DC6D6D"/>
    <w:rsid w:val="00DC76D9"/>
    <w:rsid w:val="00DD0425"/>
    <w:rsid w:val="00DD079D"/>
    <w:rsid w:val="00DD1B18"/>
    <w:rsid w:val="00DD3880"/>
    <w:rsid w:val="00DD4278"/>
    <w:rsid w:val="00DD473A"/>
    <w:rsid w:val="00DD7CE4"/>
    <w:rsid w:val="00DE5DD9"/>
    <w:rsid w:val="00DE6207"/>
    <w:rsid w:val="00DE76D7"/>
    <w:rsid w:val="00DF01E5"/>
    <w:rsid w:val="00DF5D1E"/>
    <w:rsid w:val="00DF60C4"/>
    <w:rsid w:val="00DF7ABB"/>
    <w:rsid w:val="00E01B80"/>
    <w:rsid w:val="00E02152"/>
    <w:rsid w:val="00E023AF"/>
    <w:rsid w:val="00E03CE7"/>
    <w:rsid w:val="00E04E82"/>
    <w:rsid w:val="00E052EB"/>
    <w:rsid w:val="00E05E0B"/>
    <w:rsid w:val="00E06C2A"/>
    <w:rsid w:val="00E106F6"/>
    <w:rsid w:val="00E11304"/>
    <w:rsid w:val="00E12B45"/>
    <w:rsid w:val="00E13751"/>
    <w:rsid w:val="00E13D9B"/>
    <w:rsid w:val="00E14E7B"/>
    <w:rsid w:val="00E17027"/>
    <w:rsid w:val="00E17655"/>
    <w:rsid w:val="00E176A1"/>
    <w:rsid w:val="00E24A40"/>
    <w:rsid w:val="00E25275"/>
    <w:rsid w:val="00E2581B"/>
    <w:rsid w:val="00E25978"/>
    <w:rsid w:val="00E26A40"/>
    <w:rsid w:val="00E26EC0"/>
    <w:rsid w:val="00E27F57"/>
    <w:rsid w:val="00E30434"/>
    <w:rsid w:val="00E33226"/>
    <w:rsid w:val="00E34B95"/>
    <w:rsid w:val="00E36C10"/>
    <w:rsid w:val="00E36DBC"/>
    <w:rsid w:val="00E41B64"/>
    <w:rsid w:val="00E421B7"/>
    <w:rsid w:val="00E440FC"/>
    <w:rsid w:val="00E46E5C"/>
    <w:rsid w:val="00E47216"/>
    <w:rsid w:val="00E53AD6"/>
    <w:rsid w:val="00E54632"/>
    <w:rsid w:val="00E55A75"/>
    <w:rsid w:val="00E561E1"/>
    <w:rsid w:val="00E57ACB"/>
    <w:rsid w:val="00E60F09"/>
    <w:rsid w:val="00E63C6C"/>
    <w:rsid w:val="00E6762D"/>
    <w:rsid w:val="00E67699"/>
    <w:rsid w:val="00E704A2"/>
    <w:rsid w:val="00E72465"/>
    <w:rsid w:val="00E76ABF"/>
    <w:rsid w:val="00E84011"/>
    <w:rsid w:val="00E86AC8"/>
    <w:rsid w:val="00E871DB"/>
    <w:rsid w:val="00E87BD8"/>
    <w:rsid w:val="00E91E23"/>
    <w:rsid w:val="00E93B5A"/>
    <w:rsid w:val="00E94E64"/>
    <w:rsid w:val="00E960C6"/>
    <w:rsid w:val="00E9686F"/>
    <w:rsid w:val="00EA528C"/>
    <w:rsid w:val="00EA6D6B"/>
    <w:rsid w:val="00EA7BDD"/>
    <w:rsid w:val="00EB1547"/>
    <w:rsid w:val="00EB4636"/>
    <w:rsid w:val="00EB4821"/>
    <w:rsid w:val="00EB74FC"/>
    <w:rsid w:val="00EC004A"/>
    <w:rsid w:val="00EC0BF3"/>
    <w:rsid w:val="00EC2160"/>
    <w:rsid w:val="00EC432B"/>
    <w:rsid w:val="00EC5200"/>
    <w:rsid w:val="00EC63F1"/>
    <w:rsid w:val="00ED30B0"/>
    <w:rsid w:val="00ED37DA"/>
    <w:rsid w:val="00ED7927"/>
    <w:rsid w:val="00EE1061"/>
    <w:rsid w:val="00EE2240"/>
    <w:rsid w:val="00EE2F75"/>
    <w:rsid w:val="00EE4235"/>
    <w:rsid w:val="00EF5089"/>
    <w:rsid w:val="00F0151E"/>
    <w:rsid w:val="00F03011"/>
    <w:rsid w:val="00F03FF8"/>
    <w:rsid w:val="00F04814"/>
    <w:rsid w:val="00F04866"/>
    <w:rsid w:val="00F06822"/>
    <w:rsid w:val="00F14128"/>
    <w:rsid w:val="00F15A55"/>
    <w:rsid w:val="00F16C1A"/>
    <w:rsid w:val="00F22155"/>
    <w:rsid w:val="00F231B7"/>
    <w:rsid w:val="00F3071E"/>
    <w:rsid w:val="00F3165D"/>
    <w:rsid w:val="00F3209C"/>
    <w:rsid w:val="00F32595"/>
    <w:rsid w:val="00F35DCF"/>
    <w:rsid w:val="00F40A14"/>
    <w:rsid w:val="00F410D9"/>
    <w:rsid w:val="00F433B8"/>
    <w:rsid w:val="00F44704"/>
    <w:rsid w:val="00F449ED"/>
    <w:rsid w:val="00F456F4"/>
    <w:rsid w:val="00F46F83"/>
    <w:rsid w:val="00F47818"/>
    <w:rsid w:val="00F50120"/>
    <w:rsid w:val="00F51644"/>
    <w:rsid w:val="00F53D07"/>
    <w:rsid w:val="00F56B82"/>
    <w:rsid w:val="00F65513"/>
    <w:rsid w:val="00F67D94"/>
    <w:rsid w:val="00F70E1A"/>
    <w:rsid w:val="00F729AB"/>
    <w:rsid w:val="00F737D5"/>
    <w:rsid w:val="00F748A3"/>
    <w:rsid w:val="00F74901"/>
    <w:rsid w:val="00F7576B"/>
    <w:rsid w:val="00F77E7F"/>
    <w:rsid w:val="00F80596"/>
    <w:rsid w:val="00F80F97"/>
    <w:rsid w:val="00F82402"/>
    <w:rsid w:val="00F84CD2"/>
    <w:rsid w:val="00F90857"/>
    <w:rsid w:val="00F91F5D"/>
    <w:rsid w:val="00F92AC0"/>
    <w:rsid w:val="00F956E7"/>
    <w:rsid w:val="00F95E20"/>
    <w:rsid w:val="00F96071"/>
    <w:rsid w:val="00F962D0"/>
    <w:rsid w:val="00FA022D"/>
    <w:rsid w:val="00FA3596"/>
    <w:rsid w:val="00FA3D52"/>
    <w:rsid w:val="00FA4182"/>
    <w:rsid w:val="00FA503D"/>
    <w:rsid w:val="00FA643A"/>
    <w:rsid w:val="00FB7DFE"/>
    <w:rsid w:val="00FC097B"/>
    <w:rsid w:val="00FC1C71"/>
    <w:rsid w:val="00FC2839"/>
    <w:rsid w:val="00FC2A33"/>
    <w:rsid w:val="00FC31E5"/>
    <w:rsid w:val="00FC3E96"/>
    <w:rsid w:val="00FC4F74"/>
    <w:rsid w:val="00FC6E30"/>
    <w:rsid w:val="00FC729B"/>
    <w:rsid w:val="00FD191D"/>
    <w:rsid w:val="00FD20B1"/>
    <w:rsid w:val="00FD2C56"/>
    <w:rsid w:val="00FD684B"/>
    <w:rsid w:val="00FE041B"/>
    <w:rsid w:val="00FE1A2D"/>
    <w:rsid w:val="00FE1B8D"/>
    <w:rsid w:val="00FE1D69"/>
    <w:rsid w:val="00FE2FE2"/>
    <w:rsid w:val="00FE5633"/>
    <w:rsid w:val="00FE788D"/>
    <w:rsid w:val="00FF1068"/>
    <w:rsid w:val="00FF3824"/>
    <w:rsid w:val="00FF462E"/>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C5B3326"/>
  <w15:chartTrackingRefBased/>
  <w15:docId w15:val="{6D956369-0150-4479-993C-654033858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CR" w:eastAsia="es-CR"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418E"/>
    <w:rPr>
      <w:rFonts w:ascii="Times New Roman" w:eastAsia="Times New Roman" w:hAnsi="Times New Roman"/>
      <w:lang w:val="es-ES" w:eastAsia="es-ES"/>
    </w:rPr>
  </w:style>
  <w:style w:type="paragraph" w:styleId="Ttulo1">
    <w:name w:val="heading 1"/>
    <w:basedOn w:val="Normal"/>
    <w:next w:val="Normal"/>
    <w:link w:val="Ttulo1Car"/>
    <w:uiPriority w:val="99"/>
    <w:qFormat/>
    <w:rsid w:val="004D0B3B"/>
    <w:pPr>
      <w:keepNext/>
      <w:jc w:val="both"/>
      <w:outlineLvl w:val="0"/>
    </w:pPr>
    <w:rPr>
      <w:sz w:val="24"/>
    </w:rPr>
  </w:style>
  <w:style w:type="paragraph" w:styleId="Ttulo2">
    <w:name w:val="heading 2"/>
    <w:aliases w:val="CAPÍTULO,Car10"/>
    <w:basedOn w:val="Normal"/>
    <w:next w:val="Normal"/>
    <w:link w:val="Ttulo2Car"/>
    <w:qFormat/>
    <w:rsid w:val="004D0B3B"/>
    <w:pPr>
      <w:keepNext/>
      <w:jc w:val="both"/>
      <w:outlineLvl w:val="1"/>
    </w:pPr>
    <w:rPr>
      <w:b/>
      <w:sz w:val="28"/>
    </w:rPr>
  </w:style>
  <w:style w:type="paragraph" w:styleId="Ttulo3">
    <w:name w:val="heading 3"/>
    <w:basedOn w:val="Normal"/>
    <w:next w:val="Normal"/>
    <w:link w:val="Ttulo3Car"/>
    <w:uiPriority w:val="99"/>
    <w:qFormat/>
    <w:rsid w:val="004D0B3B"/>
    <w:pPr>
      <w:keepNext/>
      <w:outlineLvl w:val="2"/>
    </w:pPr>
    <w:rPr>
      <w:b/>
      <w:bCs/>
      <w:sz w:val="24"/>
    </w:rPr>
  </w:style>
  <w:style w:type="paragraph" w:styleId="Ttulo4">
    <w:name w:val="heading 4"/>
    <w:basedOn w:val="Normal"/>
    <w:next w:val="Normal"/>
    <w:link w:val="Ttulo4Car"/>
    <w:uiPriority w:val="99"/>
    <w:qFormat/>
    <w:rsid w:val="004D0B3B"/>
    <w:pPr>
      <w:keepNext/>
      <w:jc w:val="center"/>
      <w:outlineLvl w:val="3"/>
    </w:pPr>
    <w:rPr>
      <w:rFonts w:ascii="Coronet" w:hAnsi="Coronet"/>
      <w:sz w:val="42"/>
      <w:lang w:val="es-CR"/>
    </w:rPr>
  </w:style>
  <w:style w:type="paragraph" w:styleId="Ttulo5">
    <w:name w:val="heading 5"/>
    <w:basedOn w:val="Normal"/>
    <w:next w:val="Normal"/>
    <w:link w:val="Ttulo5Car"/>
    <w:uiPriority w:val="99"/>
    <w:qFormat/>
    <w:rsid w:val="004D0B3B"/>
    <w:pPr>
      <w:keepNext/>
      <w:widowControl w:val="0"/>
      <w:ind w:firstLine="426"/>
      <w:jc w:val="both"/>
      <w:outlineLvl w:val="4"/>
    </w:pPr>
    <w:rPr>
      <w:b/>
      <w:bCs/>
      <w:i/>
      <w:iCs/>
      <w:lang w:val="es-CR"/>
    </w:rPr>
  </w:style>
  <w:style w:type="paragraph" w:styleId="Ttulo7">
    <w:name w:val="heading 7"/>
    <w:basedOn w:val="Normal"/>
    <w:next w:val="Normal"/>
    <w:link w:val="Ttulo7Car"/>
    <w:uiPriority w:val="99"/>
    <w:qFormat/>
    <w:rsid w:val="004D0B3B"/>
    <w:pPr>
      <w:keepNext/>
      <w:tabs>
        <w:tab w:val="num" w:pos="1296"/>
      </w:tabs>
      <w:ind w:left="1296" w:hanging="1296"/>
      <w:outlineLvl w:val="6"/>
    </w:pPr>
    <w:rPr>
      <w:sz w:val="28"/>
    </w:rPr>
  </w:style>
  <w:style w:type="paragraph" w:styleId="Ttulo8">
    <w:name w:val="heading 8"/>
    <w:basedOn w:val="Normal"/>
    <w:next w:val="Normal"/>
    <w:link w:val="Ttulo8Car"/>
    <w:uiPriority w:val="99"/>
    <w:qFormat/>
    <w:rsid w:val="004D0B3B"/>
    <w:pPr>
      <w:keepNext/>
      <w:tabs>
        <w:tab w:val="num" w:pos="1440"/>
      </w:tabs>
      <w:ind w:left="1440" w:hanging="1440"/>
      <w:outlineLvl w:val="7"/>
    </w:pPr>
    <w:rPr>
      <w:rFonts w:ascii="Arial" w:hAnsi="Arial" w:cs="Arial"/>
      <w:b/>
      <w:bCs/>
      <w:color w:val="99CC00"/>
    </w:rPr>
  </w:style>
  <w:style w:type="paragraph" w:styleId="Ttulo9">
    <w:name w:val="heading 9"/>
    <w:basedOn w:val="Normal"/>
    <w:next w:val="Normal"/>
    <w:link w:val="Ttulo9Car"/>
    <w:uiPriority w:val="99"/>
    <w:qFormat/>
    <w:rsid w:val="004D0B3B"/>
    <w:pPr>
      <w:keepNext/>
      <w:tabs>
        <w:tab w:val="num" w:pos="1584"/>
      </w:tabs>
      <w:ind w:left="1584" w:hanging="1584"/>
      <w:jc w:val="both"/>
      <w:outlineLvl w:val="8"/>
    </w:pPr>
    <w:rPr>
      <w:rFonts w:ascii="Arial" w:hAnsi="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90A93"/>
    <w:pPr>
      <w:tabs>
        <w:tab w:val="center" w:pos="4419"/>
        <w:tab w:val="right" w:pos="8838"/>
      </w:tabs>
    </w:pPr>
  </w:style>
  <w:style w:type="character" w:customStyle="1" w:styleId="EncabezadoCar">
    <w:name w:val="Encabezado Car"/>
    <w:link w:val="Encabezado"/>
    <w:uiPriority w:val="99"/>
    <w:rsid w:val="00290A93"/>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unhideWhenUsed/>
    <w:rsid w:val="00290A93"/>
    <w:pPr>
      <w:tabs>
        <w:tab w:val="center" w:pos="4419"/>
        <w:tab w:val="right" w:pos="8838"/>
      </w:tabs>
    </w:pPr>
  </w:style>
  <w:style w:type="character" w:customStyle="1" w:styleId="PiedepginaCar">
    <w:name w:val="Pie de página Car"/>
    <w:link w:val="Piedepgina"/>
    <w:uiPriority w:val="99"/>
    <w:rsid w:val="00290A93"/>
    <w:rPr>
      <w:rFonts w:ascii="Times New Roman" w:eastAsia="Times New Roman" w:hAnsi="Times New Roman" w:cs="Times New Roman"/>
      <w:sz w:val="20"/>
      <w:szCs w:val="20"/>
      <w:lang w:val="es-ES" w:eastAsia="es-ES"/>
    </w:rPr>
  </w:style>
  <w:style w:type="paragraph" w:styleId="NormalWeb">
    <w:name w:val="Normal (Web)"/>
    <w:basedOn w:val="Normal"/>
    <w:uiPriority w:val="99"/>
    <w:unhideWhenUsed/>
    <w:rsid w:val="00AC438A"/>
    <w:pPr>
      <w:spacing w:before="100" w:beforeAutospacing="1" w:after="100" w:afterAutospacing="1"/>
    </w:pPr>
    <w:rPr>
      <w:rFonts w:ascii="Arial" w:hAnsi="Arial" w:cs="Arial"/>
      <w:sz w:val="18"/>
      <w:szCs w:val="18"/>
      <w:lang w:val="es-CR" w:eastAsia="es-CR"/>
    </w:rPr>
  </w:style>
  <w:style w:type="character" w:styleId="Textoennegrita">
    <w:name w:val="Strong"/>
    <w:uiPriority w:val="99"/>
    <w:qFormat/>
    <w:rsid w:val="00AC438A"/>
    <w:rPr>
      <w:b/>
      <w:bCs/>
    </w:rPr>
  </w:style>
  <w:style w:type="paragraph" w:styleId="Textodeglobo">
    <w:name w:val="Balloon Text"/>
    <w:basedOn w:val="Normal"/>
    <w:link w:val="TextodegloboCar"/>
    <w:uiPriority w:val="99"/>
    <w:semiHidden/>
    <w:unhideWhenUsed/>
    <w:rsid w:val="00BD5D1C"/>
    <w:rPr>
      <w:rFonts w:ascii="Tahoma" w:hAnsi="Tahoma" w:cs="Tahoma"/>
      <w:sz w:val="16"/>
      <w:szCs w:val="16"/>
    </w:rPr>
  </w:style>
  <w:style w:type="character" w:customStyle="1" w:styleId="TextodegloboCar">
    <w:name w:val="Texto de globo Car"/>
    <w:link w:val="Textodeglobo"/>
    <w:uiPriority w:val="99"/>
    <w:semiHidden/>
    <w:rsid w:val="00BD5D1C"/>
    <w:rPr>
      <w:rFonts w:ascii="Tahoma" w:eastAsia="Times New Roman" w:hAnsi="Tahoma" w:cs="Tahoma"/>
      <w:sz w:val="16"/>
      <w:szCs w:val="16"/>
      <w:lang w:val="es-ES" w:eastAsia="es-ES"/>
    </w:rPr>
  </w:style>
  <w:style w:type="character" w:styleId="Hipervnculo">
    <w:name w:val="Hyperlink"/>
    <w:uiPriority w:val="99"/>
    <w:qFormat/>
    <w:rsid w:val="00EB74FC"/>
    <w:rPr>
      <w:color w:val="0000FF"/>
      <w:u w:val="single"/>
    </w:rPr>
  </w:style>
  <w:style w:type="paragraph" w:styleId="Prrafodelista">
    <w:name w:val="List Paragraph"/>
    <w:aliases w:val="titulo 3,Informe,Con viñetas,Normal con viñetas,3,Use Case List Paragraph,Bullet 1,figuras y gráficos,Viñetas,Bulletr List Paragraph,List Paragraph 1,Numbered List Paragraph,Main numbered paragraph,Bullets,List Paragraph (numbered (a))"/>
    <w:basedOn w:val="Normal"/>
    <w:link w:val="PrrafodelistaCar"/>
    <w:uiPriority w:val="34"/>
    <w:qFormat/>
    <w:rsid w:val="00DE76D7"/>
    <w:pPr>
      <w:ind w:left="708"/>
    </w:pPr>
    <w:rPr>
      <w:sz w:val="24"/>
      <w:szCs w:val="24"/>
    </w:rPr>
  </w:style>
  <w:style w:type="paragraph" w:styleId="Textoindependiente">
    <w:name w:val="Body Text"/>
    <w:basedOn w:val="Normal"/>
    <w:link w:val="TextoindependienteCar"/>
    <w:uiPriority w:val="99"/>
    <w:unhideWhenUsed/>
    <w:rsid w:val="005B511B"/>
    <w:pPr>
      <w:spacing w:after="120"/>
      <w:jc w:val="both"/>
    </w:pPr>
    <w:rPr>
      <w:rFonts w:eastAsia="Calibri"/>
      <w:sz w:val="24"/>
      <w:szCs w:val="24"/>
      <w:lang w:eastAsia="en-US"/>
    </w:rPr>
  </w:style>
  <w:style w:type="character" w:customStyle="1" w:styleId="TextoindependienteCar">
    <w:name w:val="Texto independiente Car"/>
    <w:link w:val="Textoindependiente"/>
    <w:uiPriority w:val="99"/>
    <w:rsid w:val="005B511B"/>
    <w:rPr>
      <w:rFonts w:ascii="Times New Roman" w:eastAsia="Calibri" w:hAnsi="Times New Roman" w:cs="Times New Roman"/>
      <w:sz w:val="24"/>
      <w:szCs w:val="24"/>
      <w:lang w:val="es-ES"/>
    </w:rPr>
  </w:style>
  <w:style w:type="table" w:customStyle="1" w:styleId="Listaclara1">
    <w:name w:val="Lista clara1"/>
    <w:basedOn w:val="Tablanormal"/>
    <w:uiPriority w:val="61"/>
    <w:rsid w:val="003253EA"/>
    <w:pPr>
      <w:jc w:val="both"/>
    </w:pPr>
    <w:rPr>
      <w:rFonts w:eastAsia="Times New Roman"/>
      <w:lang w:val="en-US" w:eastAsia="en-US" w:bidi="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Sinespaciado">
    <w:name w:val="No Spacing"/>
    <w:link w:val="SinespaciadoCar"/>
    <w:uiPriority w:val="1"/>
    <w:qFormat/>
    <w:rsid w:val="00E871DB"/>
    <w:rPr>
      <w:sz w:val="22"/>
      <w:szCs w:val="22"/>
      <w:lang w:val="en-US" w:eastAsia="en-US"/>
    </w:rPr>
  </w:style>
  <w:style w:type="paragraph" w:styleId="Sangra2detindependiente">
    <w:name w:val="Body Text Indent 2"/>
    <w:basedOn w:val="Normal"/>
    <w:link w:val="Sangra2detindependienteCar"/>
    <w:uiPriority w:val="99"/>
    <w:unhideWhenUsed/>
    <w:rsid w:val="001E4BAA"/>
    <w:pPr>
      <w:spacing w:after="120" w:line="480" w:lineRule="auto"/>
      <w:ind w:left="283"/>
    </w:pPr>
  </w:style>
  <w:style w:type="character" w:customStyle="1" w:styleId="Sangra2detindependienteCar">
    <w:name w:val="Sangría 2 de t. independiente Car"/>
    <w:link w:val="Sangra2detindependiente"/>
    <w:uiPriority w:val="99"/>
    <w:rsid w:val="001E4BAA"/>
    <w:rPr>
      <w:rFonts w:ascii="Times New Roman" w:eastAsia="Times New Roman" w:hAnsi="Times New Roman"/>
      <w:lang w:val="es-ES" w:eastAsia="es-ES"/>
    </w:rPr>
  </w:style>
  <w:style w:type="paragraph" w:customStyle="1" w:styleId="Piepagina">
    <w:name w:val="Pie pagina"/>
    <w:basedOn w:val="Normal"/>
    <w:link w:val="PiepaginaChar"/>
    <w:uiPriority w:val="1"/>
    <w:qFormat/>
    <w:rsid w:val="002E22DE"/>
    <w:pPr>
      <w:jc w:val="both"/>
    </w:pPr>
    <w:rPr>
      <w:rFonts w:ascii="Franklin Gothic Book" w:hAnsi="Franklin Gothic Book"/>
      <w:color w:val="004990"/>
      <w:sz w:val="16"/>
      <w:szCs w:val="16"/>
      <w:lang w:eastAsia="en-US"/>
    </w:rPr>
  </w:style>
  <w:style w:type="character" w:customStyle="1" w:styleId="PiepaginaChar">
    <w:name w:val="Pie pagina Char"/>
    <w:link w:val="Piepagina"/>
    <w:uiPriority w:val="1"/>
    <w:rsid w:val="002E22DE"/>
    <w:rPr>
      <w:rFonts w:ascii="Franklin Gothic Book" w:eastAsia="Times New Roman" w:hAnsi="Franklin Gothic Book"/>
      <w:color w:val="004990"/>
      <w:sz w:val="16"/>
      <w:szCs w:val="16"/>
      <w:lang w:val="es-ES" w:eastAsia="en-US"/>
    </w:rPr>
  </w:style>
  <w:style w:type="character" w:customStyle="1" w:styleId="Ttulo1Car">
    <w:name w:val="Título 1 Car"/>
    <w:link w:val="Ttulo1"/>
    <w:uiPriority w:val="99"/>
    <w:rsid w:val="004D0B3B"/>
    <w:rPr>
      <w:rFonts w:ascii="Times New Roman" w:eastAsia="Times New Roman" w:hAnsi="Times New Roman"/>
      <w:sz w:val="24"/>
      <w:lang w:val="es-ES" w:eastAsia="es-ES"/>
    </w:rPr>
  </w:style>
  <w:style w:type="character" w:customStyle="1" w:styleId="Ttulo2Car">
    <w:name w:val="Título 2 Car"/>
    <w:aliases w:val="CAPÍTULO Car,Car10 Car"/>
    <w:link w:val="Ttulo2"/>
    <w:rsid w:val="004D0B3B"/>
    <w:rPr>
      <w:rFonts w:ascii="Times New Roman" w:eastAsia="Times New Roman" w:hAnsi="Times New Roman"/>
      <w:b/>
      <w:sz w:val="28"/>
      <w:lang w:val="es-ES" w:eastAsia="es-ES"/>
    </w:rPr>
  </w:style>
  <w:style w:type="character" w:customStyle="1" w:styleId="Ttulo3Car">
    <w:name w:val="Título 3 Car"/>
    <w:link w:val="Ttulo3"/>
    <w:uiPriority w:val="99"/>
    <w:rsid w:val="004D0B3B"/>
    <w:rPr>
      <w:rFonts w:ascii="Times New Roman" w:eastAsia="Times New Roman" w:hAnsi="Times New Roman"/>
      <w:b/>
      <w:bCs/>
      <w:sz w:val="24"/>
      <w:lang w:val="es-ES" w:eastAsia="es-ES"/>
    </w:rPr>
  </w:style>
  <w:style w:type="character" w:customStyle="1" w:styleId="Ttulo4Car">
    <w:name w:val="Título 4 Car"/>
    <w:link w:val="Ttulo4"/>
    <w:uiPriority w:val="99"/>
    <w:rsid w:val="004D0B3B"/>
    <w:rPr>
      <w:rFonts w:ascii="Coronet" w:eastAsia="Times New Roman" w:hAnsi="Coronet"/>
      <w:sz w:val="42"/>
      <w:lang w:eastAsia="es-ES"/>
    </w:rPr>
  </w:style>
  <w:style w:type="character" w:customStyle="1" w:styleId="Ttulo5Car">
    <w:name w:val="Título 5 Car"/>
    <w:link w:val="Ttulo5"/>
    <w:uiPriority w:val="99"/>
    <w:rsid w:val="004D0B3B"/>
    <w:rPr>
      <w:rFonts w:ascii="Times New Roman" w:eastAsia="Times New Roman" w:hAnsi="Times New Roman"/>
      <w:b/>
      <w:bCs/>
      <w:i/>
      <w:iCs/>
      <w:lang w:eastAsia="es-ES"/>
    </w:rPr>
  </w:style>
  <w:style w:type="character" w:customStyle="1" w:styleId="Ttulo7Car">
    <w:name w:val="Título 7 Car"/>
    <w:link w:val="Ttulo7"/>
    <w:uiPriority w:val="99"/>
    <w:rsid w:val="004D0B3B"/>
    <w:rPr>
      <w:rFonts w:ascii="Times New Roman" w:eastAsia="Times New Roman" w:hAnsi="Times New Roman"/>
      <w:sz w:val="28"/>
      <w:lang w:val="es-ES" w:eastAsia="es-ES"/>
    </w:rPr>
  </w:style>
  <w:style w:type="character" w:customStyle="1" w:styleId="Ttulo8Car">
    <w:name w:val="Título 8 Car"/>
    <w:link w:val="Ttulo8"/>
    <w:uiPriority w:val="99"/>
    <w:rsid w:val="004D0B3B"/>
    <w:rPr>
      <w:rFonts w:ascii="Arial" w:eastAsia="Times New Roman" w:hAnsi="Arial" w:cs="Arial"/>
      <w:b/>
      <w:bCs/>
      <w:color w:val="99CC00"/>
      <w:lang w:val="es-ES" w:eastAsia="es-ES"/>
    </w:rPr>
  </w:style>
  <w:style w:type="character" w:customStyle="1" w:styleId="Ttulo9Car">
    <w:name w:val="Título 9 Car"/>
    <w:link w:val="Ttulo9"/>
    <w:uiPriority w:val="99"/>
    <w:rsid w:val="004D0B3B"/>
    <w:rPr>
      <w:rFonts w:ascii="Arial" w:eastAsia="Times New Roman" w:hAnsi="Arial"/>
      <w:b/>
      <w:bCs/>
      <w:lang w:val="es-ES" w:eastAsia="es-ES"/>
    </w:rPr>
  </w:style>
  <w:style w:type="paragraph" w:styleId="Sangradetextonormal">
    <w:name w:val="Body Text Indent"/>
    <w:aliases w:val="Sangría de t. independiente"/>
    <w:basedOn w:val="Normal"/>
    <w:link w:val="SangradetextonormalCar"/>
    <w:uiPriority w:val="99"/>
    <w:rsid w:val="004D0B3B"/>
    <w:pPr>
      <w:spacing w:line="360" w:lineRule="auto"/>
      <w:ind w:left="708" w:hanging="707"/>
      <w:jc w:val="both"/>
    </w:pPr>
    <w:rPr>
      <w:sz w:val="24"/>
    </w:rPr>
  </w:style>
  <w:style w:type="character" w:customStyle="1" w:styleId="SangradetextonormalCar">
    <w:name w:val="Sangría de texto normal Car"/>
    <w:aliases w:val="Sangría de t. independiente Car"/>
    <w:link w:val="Sangradetextonormal"/>
    <w:uiPriority w:val="99"/>
    <w:rsid w:val="004D0B3B"/>
    <w:rPr>
      <w:rFonts w:ascii="Times New Roman" w:eastAsia="Times New Roman" w:hAnsi="Times New Roman"/>
      <w:sz w:val="24"/>
      <w:lang w:val="es-ES" w:eastAsia="es-ES"/>
    </w:rPr>
  </w:style>
  <w:style w:type="character" w:styleId="Nmerodepgina">
    <w:name w:val="page number"/>
    <w:rsid w:val="004D0B3B"/>
  </w:style>
  <w:style w:type="paragraph" w:styleId="Textoindependiente2">
    <w:name w:val="Body Text 2"/>
    <w:basedOn w:val="Normal"/>
    <w:link w:val="Textoindependiente2Car"/>
    <w:uiPriority w:val="99"/>
    <w:rsid w:val="004D0B3B"/>
    <w:pPr>
      <w:spacing w:after="120" w:line="480" w:lineRule="auto"/>
    </w:pPr>
  </w:style>
  <w:style w:type="character" w:customStyle="1" w:styleId="Textoindependiente2Car">
    <w:name w:val="Texto independiente 2 Car"/>
    <w:link w:val="Textoindependiente2"/>
    <w:uiPriority w:val="99"/>
    <w:rsid w:val="004D0B3B"/>
    <w:rPr>
      <w:rFonts w:ascii="Times New Roman" w:eastAsia="Times New Roman" w:hAnsi="Times New Roman"/>
      <w:lang w:val="es-ES" w:eastAsia="es-ES"/>
    </w:rPr>
  </w:style>
  <w:style w:type="character" w:customStyle="1" w:styleId="SinespaciadoCar">
    <w:name w:val="Sin espaciado Car"/>
    <w:link w:val="Sinespaciado"/>
    <w:uiPriority w:val="1"/>
    <w:locked/>
    <w:rsid w:val="004D0B3B"/>
    <w:rPr>
      <w:sz w:val="22"/>
      <w:szCs w:val="22"/>
      <w:lang w:val="en-US" w:eastAsia="en-US"/>
    </w:rPr>
  </w:style>
  <w:style w:type="paragraph" w:styleId="Listaconnmeros">
    <w:name w:val="List Number"/>
    <w:basedOn w:val="Normal"/>
    <w:semiHidden/>
    <w:unhideWhenUsed/>
    <w:rsid w:val="004D0B3B"/>
    <w:pPr>
      <w:numPr>
        <w:numId w:val="1"/>
      </w:numPr>
      <w:contextualSpacing/>
    </w:pPr>
    <w:rPr>
      <w:lang w:val="en-US" w:eastAsia="en-US"/>
    </w:rPr>
  </w:style>
  <w:style w:type="character" w:customStyle="1" w:styleId="PrrafodelistaCar">
    <w:name w:val="Párrafo de lista Car"/>
    <w:aliases w:val="titulo 3 Car,Informe Car,Con viñetas Car,Normal con viñetas Car,3 Car,Use Case List Paragraph Car,Bullet 1 Car,figuras y gráficos Car,Viñetas Car,Bulletr List Paragraph Car,List Paragraph 1 Car,Numbered List Paragraph Car"/>
    <w:link w:val="Prrafodelista"/>
    <w:uiPriority w:val="34"/>
    <w:qFormat/>
    <w:locked/>
    <w:rsid w:val="004D0B3B"/>
    <w:rPr>
      <w:rFonts w:ascii="Times New Roman" w:eastAsia="Times New Roman" w:hAnsi="Times New Roman"/>
      <w:sz w:val="24"/>
      <w:szCs w:val="24"/>
      <w:lang w:val="es-ES" w:eastAsia="es-ES"/>
    </w:rPr>
  </w:style>
  <w:style w:type="paragraph" w:customStyle="1" w:styleId="p4">
    <w:name w:val="p4"/>
    <w:basedOn w:val="Normal"/>
    <w:rsid w:val="004D0B3B"/>
    <w:pPr>
      <w:tabs>
        <w:tab w:val="left" w:pos="720"/>
      </w:tabs>
      <w:overflowPunct w:val="0"/>
      <w:autoSpaceDE w:val="0"/>
      <w:autoSpaceDN w:val="0"/>
      <w:adjustRightInd w:val="0"/>
      <w:spacing w:line="280" w:lineRule="auto"/>
      <w:jc w:val="both"/>
      <w:textAlignment w:val="baseline"/>
    </w:pPr>
    <w:rPr>
      <w:rFonts w:ascii="Arial" w:hAnsi="Arial"/>
      <w:sz w:val="24"/>
      <w:lang w:val="es-ES_tradnl"/>
    </w:rPr>
  </w:style>
  <w:style w:type="character" w:styleId="Nmerodelnea">
    <w:name w:val="line number"/>
    <w:uiPriority w:val="99"/>
    <w:rsid w:val="004D0B3B"/>
  </w:style>
  <w:style w:type="character" w:customStyle="1" w:styleId="A2">
    <w:name w:val="A2"/>
    <w:uiPriority w:val="99"/>
    <w:rsid w:val="004D0B3B"/>
    <w:rPr>
      <w:b/>
      <w:bCs/>
      <w:color w:val="000000"/>
    </w:rPr>
  </w:style>
  <w:style w:type="paragraph" w:customStyle="1" w:styleId="CM14">
    <w:name w:val="CM14"/>
    <w:basedOn w:val="Normal"/>
    <w:next w:val="Normal"/>
    <w:uiPriority w:val="99"/>
    <w:rsid w:val="004D0B3B"/>
    <w:pPr>
      <w:widowControl w:val="0"/>
      <w:autoSpaceDE w:val="0"/>
      <w:autoSpaceDN w:val="0"/>
      <w:adjustRightInd w:val="0"/>
      <w:spacing w:after="145"/>
    </w:pPr>
    <w:rPr>
      <w:sz w:val="24"/>
      <w:szCs w:val="24"/>
      <w:lang w:val="es-CR" w:eastAsia="es-CR"/>
    </w:rPr>
  </w:style>
  <w:style w:type="paragraph" w:customStyle="1" w:styleId="CM10">
    <w:name w:val="CM10"/>
    <w:basedOn w:val="Normal"/>
    <w:next w:val="Normal"/>
    <w:uiPriority w:val="99"/>
    <w:rsid w:val="004D0B3B"/>
    <w:pPr>
      <w:widowControl w:val="0"/>
      <w:autoSpaceDE w:val="0"/>
      <w:autoSpaceDN w:val="0"/>
      <w:adjustRightInd w:val="0"/>
      <w:spacing w:line="231" w:lineRule="atLeast"/>
    </w:pPr>
    <w:rPr>
      <w:sz w:val="24"/>
      <w:szCs w:val="24"/>
      <w:lang w:val="es-CR" w:eastAsia="es-CR"/>
    </w:rPr>
  </w:style>
  <w:style w:type="character" w:customStyle="1" w:styleId="TextonotapieCar">
    <w:name w:val="Texto nota pie Car"/>
    <w:aliases w:val="Car1 Car"/>
    <w:link w:val="Textonotapie"/>
    <w:uiPriority w:val="99"/>
    <w:rsid w:val="004D0B3B"/>
    <w:rPr>
      <w:lang w:eastAsia="es-ES"/>
    </w:rPr>
  </w:style>
  <w:style w:type="paragraph" w:styleId="Textonotapie">
    <w:name w:val="footnote text"/>
    <w:aliases w:val="Car1"/>
    <w:basedOn w:val="Normal"/>
    <w:link w:val="TextonotapieCar"/>
    <w:uiPriority w:val="99"/>
    <w:rsid w:val="004D0B3B"/>
    <w:rPr>
      <w:rFonts w:ascii="Calibri" w:eastAsia="Calibri" w:hAnsi="Calibri"/>
      <w:lang w:val="es-CR"/>
    </w:rPr>
  </w:style>
  <w:style w:type="character" w:customStyle="1" w:styleId="TextonotapieCar1">
    <w:name w:val="Texto nota pie Car1"/>
    <w:rsid w:val="004D0B3B"/>
    <w:rPr>
      <w:rFonts w:ascii="Times New Roman" w:eastAsia="Times New Roman" w:hAnsi="Times New Roman"/>
      <w:lang w:val="es-ES" w:eastAsia="es-ES"/>
    </w:rPr>
  </w:style>
  <w:style w:type="character" w:styleId="Refdenotaalpie">
    <w:name w:val="footnote reference"/>
    <w:uiPriority w:val="99"/>
    <w:rsid w:val="004D0B3B"/>
    <w:rPr>
      <w:vertAlign w:val="superscript"/>
    </w:rPr>
  </w:style>
  <w:style w:type="table" w:customStyle="1" w:styleId="Tablaconcuadrcula1">
    <w:name w:val="Tabla con cuadrícula1"/>
    <w:basedOn w:val="Tablanormal"/>
    <w:next w:val="Tablaconcuadrcula"/>
    <w:uiPriority w:val="59"/>
    <w:rsid w:val="004D0B3B"/>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99"/>
    <w:rsid w:val="004D0B3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D0B3B"/>
    <w:pPr>
      <w:autoSpaceDE w:val="0"/>
      <w:autoSpaceDN w:val="0"/>
      <w:adjustRightInd w:val="0"/>
    </w:pPr>
    <w:rPr>
      <w:rFonts w:ascii="Arial" w:eastAsia="Times New Roman" w:hAnsi="Arial" w:cs="Arial"/>
      <w:color w:val="000000"/>
      <w:sz w:val="24"/>
      <w:szCs w:val="24"/>
    </w:rPr>
  </w:style>
  <w:style w:type="paragraph" w:styleId="Textocomentario">
    <w:name w:val="annotation text"/>
    <w:basedOn w:val="Normal"/>
    <w:link w:val="TextocomentarioCar"/>
    <w:uiPriority w:val="99"/>
    <w:rsid w:val="004D0B3B"/>
  </w:style>
  <w:style w:type="character" w:customStyle="1" w:styleId="TextocomentarioCar">
    <w:name w:val="Texto comentario Car"/>
    <w:link w:val="Textocomentario"/>
    <w:uiPriority w:val="99"/>
    <w:rsid w:val="004D0B3B"/>
    <w:rPr>
      <w:rFonts w:ascii="Times New Roman" w:eastAsia="Times New Roman" w:hAnsi="Times New Roman"/>
      <w:lang w:val="es-ES" w:eastAsia="es-ES"/>
    </w:rPr>
  </w:style>
  <w:style w:type="paragraph" w:styleId="Textoindependiente3">
    <w:name w:val="Body Text 3"/>
    <w:basedOn w:val="Normal"/>
    <w:link w:val="Textoindependiente3Car"/>
    <w:uiPriority w:val="99"/>
    <w:rsid w:val="004D0B3B"/>
    <w:pPr>
      <w:widowControl w:val="0"/>
      <w:jc w:val="both"/>
    </w:pPr>
    <w:rPr>
      <w:sz w:val="25"/>
      <w:lang w:val="es-CR"/>
    </w:rPr>
  </w:style>
  <w:style w:type="character" w:customStyle="1" w:styleId="Textoindependiente3Car">
    <w:name w:val="Texto independiente 3 Car"/>
    <w:link w:val="Textoindependiente3"/>
    <w:uiPriority w:val="99"/>
    <w:rsid w:val="004D0B3B"/>
    <w:rPr>
      <w:rFonts w:ascii="Times New Roman" w:eastAsia="Times New Roman" w:hAnsi="Times New Roman"/>
      <w:sz w:val="25"/>
      <w:lang w:eastAsia="es-ES"/>
    </w:rPr>
  </w:style>
  <w:style w:type="paragraph" w:styleId="Sangra3detindependiente">
    <w:name w:val="Body Text Indent 3"/>
    <w:basedOn w:val="Normal"/>
    <w:link w:val="Sangra3detindependienteCar"/>
    <w:uiPriority w:val="99"/>
    <w:rsid w:val="004D0B3B"/>
    <w:pPr>
      <w:widowControl w:val="0"/>
      <w:ind w:left="709" w:hanging="709"/>
      <w:jc w:val="both"/>
    </w:pPr>
    <w:rPr>
      <w:sz w:val="19"/>
      <w:lang w:val="es-CR"/>
    </w:rPr>
  </w:style>
  <w:style w:type="character" w:customStyle="1" w:styleId="Sangra3detindependienteCar">
    <w:name w:val="Sangría 3 de t. independiente Car"/>
    <w:link w:val="Sangra3detindependiente"/>
    <w:uiPriority w:val="99"/>
    <w:rsid w:val="004D0B3B"/>
    <w:rPr>
      <w:rFonts w:ascii="Times New Roman" w:eastAsia="Times New Roman" w:hAnsi="Times New Roman"/>
      <w:sz w:val="19"/>
      <w:lang w:eastAsia="es-ES"/>
    </w:rPr>
  </w:style>
  <w:style w:type="paragraph" w:customStyle="1" w:styleId="CNV">
    <w:name w:val="CNV"/>
    <w:basedOn w:val="Normal"/>
    <w:uiPriority w:val="99"/>
    <w:rsid w:val="004D0B3B"/>
    <w:pPr>
      <w:jc w:val="both"/>
    </w:pPr>
    <w:rPr>
      <w:rFonts w:ascii="BR-01T" w:hAnsi="BR-01T"/>
      <w:sz w:val="24"/>
      <w:lang w:val="es-ES_tradnl"/>
    </w:rPr>
  </w:style>
  <w:style w:type="paragraph" w:customStyle="1" w:styleId="Epgrafe">
    <w:name w:val="Epígrafe"/>
    <w:basedOn w:val="Normal"/>
    <w:next w:val="Normal"/>
    <w:qFormat/>
    <w:rsid w:val="004D0B3B"/>
    <w:pPr>
      <w:ind w:left="284"/>
      <w:jc w:val="right"/>
    </w:pPr>
    <w:rPr>
      <w:i/>
      <w:sz w:val="24"/>
      <w:lang w:val="es-ES_tradnl"/>
    </w:rPr>
  </w:style>
  <w:style w:type="paragraph" w:styleId="Textodebloque">
    <w:name w:val="Block Text"/>
    <w:basedOn w:val="Normal"/>
    <w:uiPriority w:val="99"/>
    <w:rsid w:val="004D0B3B"/>
    <w:pPr>
      <w:widowControl w:val="0"/>
      <w:ind w:left="1134" w:right="618"/>
      <w:jc w:val="both"/>
    </w:pPr>
    <w:rPr>
      <w:i/>
      <w:sz w:val="22"/>
      <w:lang w:val="es-CR"/>
    </w:rPr>
  </w:style>
  <w:style w:type="paragraph" w:customStyle="1" w:styleId="BodyText21">
    <w:name w:val="Body Text 21"/>
    <w:basedOn w:val="Normal"/>
    <w:uiPriority w:val="99"/>
    <w:rsid w:val="004D0B3B"/>
    <w:pPr>
      <w:widowControl w:val="0"/>
      <w:jc w:val="both"/>
    </w:pPr>
    <w:rPr>
      <w:sz w:val="24"/>
      <w:lang w:val="es-CR"/>
    </w:rPr>
  </w:style>
  <w:style w:type="character" w:styleId="Refdecomentario">
    <w:name w:val="annotation reference"/>
    <w:uiPriority w:val="99"/>
    <w:rsid w:val="004D0B3B"/>
    <w:rPr>
      <w:sz w:val="16"/>
      <w:szCs w:val="16"/>
    </w:rPr>
  </w:style>
  <w:style w:type="paragraph" w:styleId="Asuntodelcomentario">
    <w:name w:val="annotation subject"/>
    <w:basedOn w:val="Textocomentario"/>
    <w:next w:val="Textocomentario"/>
    <w:link w:val="AsuntodelcomentarioCar"/>
    <w:uiPriority w:val="99"/>
    <w:rsid w:val="004D0B3B"/>
    <w:rPr>
      <w:b/>
      <w:bCs/>
      <w:lang w:val="es-CR"/>
    </w:rPr>
  </w:style>
  <w:style w:type="character" w:customStyle="1" w:styleId="AsuntodelcomentarioCar">
    <w:name w:val="Asunto del comentario Car"/>
    <w:link w:val="Asuntodelcomentario"/>
    <w:uiPriority w:val="99"/>
    <w:rsid w:val="004D0B3B"/>
    <w:rPr>
      <w:rFonts w:ascii="Times New Roman" w:eastAsia="Times New Roman" w:hAnsi="Times New Roman"/>
      <w:b/>
      <w:bCs/>
      <w:lang w:val="es-ES" w:eastAsia="es-ES"/>
    </w:rPr>
  </w:style>
  <w:style w:type="paragraph" w:styleId="Listaconvietas">
    <w:name w:val="List Bullet"/>
    <w:basedOn w:val="Normal"/>
    <w:autoRedefine/>
    <w:uiPriority w:val="99"/>
    <w:rsid w:val="004D0B3B"/>
    <w:pPr>
      <w:tabs>
        <w:tab w:val="num" w:pos="360"/>
      </w:tabs>
      <w:ind w:left="360" w:hanging="360"/>
    </w:pPr>
    <w:rPr>
      <w:sz w:val="24"/>
      <w:szCs w:val="24"/>
    </w:rPr>
  </w:style>
  <w:style w:type="paragraph" w:customStyle="1" w:styleId="xl40">
    <w:name w:val="xl40"/>
    <w:basedOn w:val="Normal"/>
    <w:uiPriority w:val="99"/>
    <w:rsid w:val="004D0B3B"/>
    <w:pPr>
      <w:spacing w:before="100" w:beforeAutospacing="1" w:after="100" w:afterAutospacing="1"/>
      <w:jc w:val="center"/>
      <w:textAlignment w:val="center"/>
    </w:pPr>
    <w:rPr>
      <w:rFonts w:eastAsia="Arial Unicode MS"/>
      <w:b/>
      <w:bCs/>
      <w:sz w:val="24"/>
      <w:szCs w:val="24"/>
    </w:rPr>
  </w:style>
  <w:style w:type="paragraph" w:customStyle="1" w:styleId="xl28">
    <w:name w:val="xl28"/>
    <w:basedOn w:val="Normal"/>
    <w:uiPriority w:val="99"/>
    <w:rsid w:val="004D0B3B"/>
    <w:pPr>
      <w:spacing w:before="100" w:beforeAutospacing="1" w:after="100" w:afterAutospacing="1"/>
      <w:textAlignment w:val="center"/>
    </w:pPr>
    <w:rPr>
      <w:rFonts w:ascii="Arial" w:eastAsia="Arial Unicode MS" w:hAnsi="Arial" w:cs="Arial"/>
      <w:sz w:val="18"/>
      <w:szCs w:val="18"/>
    </w:rPr>
  </w:style>
  <w:style w:type="paragraph" w:customStyle="1" w:styleId="xl27">
    <w:name w:val="xl27"/>
    <w:basedOn w:val="Normal"/>
    <w:uiPriority w:val="99"/>
    <w:rsid w:val="004D0B3B"/>
    <w:pPr>
      <w:spacing w:before="100" w:beforeAutospacing="1" w:after="100" w:afterAutospacing="1"/>
      <w:textAlignment w:val="center"/>
    </w:pPr>
    <w:rPr>
      <w:rFonts w:ascii="Arial" w:eastAsia="Arial Unicode MS" w:hAnsi="Arial" w:cs="Arial"/>
      <w:sz w:val="16"/>
      <w:szCs w:val="16"/>
    </w:rPr>
  </w:style>
  <w:style w:type="paragraph" w:customStyle="1" w:styleId="xl26">
    <w:name w:val="xl26"/>
    <w:basedOn w:val="Normal"/>
    <w:uiPriority w:val="99"/>
    <w:rsid w:val="004D0B3B"/>
    <w:pPr>
      <w:spacing w:before="100" w:beforeAutospacing="1" w:after="100" w:afterAutospacing="1"/>
      <w:textAlignment w:val="center"/>
    </w:pPr>
    <w:rPr>
      <w:rFonts w:ascii="Arial" w:eastAsia="Arial Unicode MS" w:hAnsi="Arial" w:cs="Arial"/>
      <w:b/>
      <w:bCs/>
      <w:sz w:val="18"/>
      <w:szCs w:val="18"/>
    </w:rPr>
  </w:style>
  <w:style w:type="paragraph" w:styleId="TDC1">
    <w:name w:val="toc 1"/>
    <w:basedOn w:val="Normal"/>
    <w:next w:val="Normal"/>
    <w:autoRedefine/>
    <w:uiPriority w:val="99"/>
    <w:rsid w:val="004D0B3B"/>
    <w:pPr>
      <w:tabs>
        <w:tab w:val="right" w:leader="dot" w:pos="8820"/>
      </w:tabs>
    </w:pPr>
    <w:rPr>
      <w:lang w:eastAsia="en-US"/>
    </w:rPr>
  </w:style>
  <w:style w:type="paragraph" w:styleId="TDC2">
    <w:name w:val="toc 2"/>
    <w:basedOn w:val="Normal"/>
    <w:next w:val="Normal"/>
    <w:autoRedefine/>
    <w:uiPriority w:val="99"/>
    <w:rsid w:val="004D0B3B"/>
    <w:pPr>
      <w:tabs>
        <w:tab w:val="left" w:pos="720"/>
        <w:tab w:val="right" w:leader="dot" w:pos="8820"/>
      </w:tabs>
      <w:ind w:left="200"/>
    </w:pPr>
    <w:rPr>
      <w:lang w:eastAsia="en-US"/>
    </w:rPr>
  </w:style>
  <w:style w:type="paragraph" w:customStyle="1" w:styleId="Tcnico">
    <w:name w:val="Técnico"/>
    <w:basedOn w:val="Normal"/>
    <w:uiPriority w:val="99"/>
    <w:rsid w:val="004D0B3B"/>
    <w:pPr>
      <w:autoSpaceDE w:val="0"/>
      <w:autoSpaceDN w:val="0"/>
      <w:ind w:left="3544" w:hanging="2126"/>
      <w:jc w:val="both"/>
    </w:pPr>
    <w:rPr>
      <w:rFonts w:ascii="Roman" w:hAnsi="Roman"/>
      <w:b/>
      <w:bCs/>
      <w:sz w:val="24"/>
      <w:szCs w:val="22"/>
      <w:lang w:val="es-ES_tradnl"/>
    </w:rPr>
  </w:style>
  <w:style w:type="paragraph" w:styleId="Ttulo">
    <w:name w:val="Title"/>
    <w:basedOn w:val="Normal"/>
    <w:link w:val="TtuloCar"/>
    <w:uiPriority w:val="99"/>
    <w:qFormat/>
    <w:rsid w:val="004D0B3B"/>
    <w:pPr>
      <w:jc w:val="center"/>
    </w:pPr>
    <w:rPr>
      <w:b/>
      <w:sz w:val="32"/>
      <w:lang w:val="es-ES_tradnl"/>
    </w:rPr>
  </w:style>
  <w:style w:type="character" w:customStyle="1" w:styleId="TtuloCar">
    <w:name w:val="Título Car"/>
    <w:link w:val="Ttulo"/>
    <w:uiPriority w:val="99"/>
    <w:rsid w:val="004D0B3B"/>
    <w:rPr>
      <w:rFonts w:ascii="Times New Roman" w:eastAsia="Times New Roman" w:hAnsi="Times New Roman"/>
      <w:b/>
      <w:sz w:val="32"/>
      <w:lang w:val="es-ES_tradnl" w:eastAsia="es-ES"/>
    </w:rPr>
  </w:style>
  <w:style w:type="paragraph" w:customStyle="1" w:styleId="p2">
    <w:name w:val="p2"/>
    <w:basedOn w:val="Normal"/>
    <w:uiPriority w:val="99"/>
    <w:rsid w:val="004D0B3B"/>
    <w:pPr>
      <w:widowControl w:val="0"/>
      <w:tabs>
        <w:tab w:val="left" w:pos="720"/>
      </w:tabs>
      <w:spacing w:line="320" w:lineRule="atLeast"/>
      <w:jc w:val="both"/>
    </w:pPr>
    <w:rPr>
      <w:sz w:val="24"/>
    </w:rPr>
  </w:style>
  <w:style w:type="character" w:styleId="Hipervnculovisitado">
    <w:name w:val="FollowedHyperlink"/>
    <w:uiPriority w:val="99"/>
    <w:rsid w:val="004D0B3B"/>
    <w:rPr>
      <w:rFonts w:cs="Times New Roman"/>
      <w:color w:val="800080"/>
      <w:u w:val="single"/>
    </w:rPr>
  </w:style>
  <w:style w:type="paragraph" w:customStyle="1" w:styleId="NORMAL2">
    <w:name w:val="NORMAL2"/>
    <w:basedOn w:val="Normal"/>
    <w:autoRedefine/>
    <w:uiPriority w:val="99"/>
    <w:rsid w:val="004D0B3B"/>
    <w:pPr>
      <w:autoSpaceDE w:val="0"/>
      <w:autoSpaceDN w:val="0"/>
      <w:jc w:val="both"/>
    </w:pPr>
    <w:rPr>
      <w:rFonts w:ascii="Arial" w:hAnsi="Arial" w:cs="Arial"/>
      <w:b/>
      <w:bCs/>
      <w:sz w:val="24"/>
      <w:szCs w:val="22"/>
      <w:lang w:val="es-ES_tradnl"/>
    </w:rPr>
  </w:style>
  <w:style w:type="paragraph" w:customStyle="1" w:styleId="CharCharCarCar">
    <w:name w:val="Char Char Car Car"/>
    <w:basedOn w:val="Normal"/>
    <w:uiPriority w:val="99"/>
    <w:rsid w:val="004D0B3B"/>
    <w:pPr>
      <w:spacing w:after="160" w:line="240" w:lineRule="exact"/>
    </w:pPr>
    <w:rPr>
      <w:rFonts w:ascii="Arial" w:eastAsia="MS Mincho" w:hAnsi="Arial"/>
      <w:lang w:eastAsia="en-US"/>
    </w:rPr>
  </w:style>
  <w:style w:type="paragraph" w:customStyle="1" w:styleId="Prrafodelista1">
    <w:name w:val="Párrafo de lista1"/>
    <w:basedOn w:val="Normal"/>
    <w:uiPriority w:val="99"/>
    <w:rsid w:val="004D0B3B"/>
    <w:pPr>
      <w:ind w:left="720"/>
      <w:contextualSpacing/>
    </w:pPr>
    <w:rPr>
      <w:sz w:val="24"/>
      <w:szCs w:val="24"/>
    </w:rPr>
  </w:style>
  <w:style w:type="paragraph" w:styleId="Textosinformato">
    <w:name w:val="Plain Text"/>
    <w:basedOn w:val="Normal"/>
    <w:link w:val="TextosinformatoCar"/>
    <w:uiPriority w:val="99"/>
    <w:unhideWhenUsed/>
    <w:rsid w:val="004D0B3B"/>
    <w:rPr>
      <w:rFonts w:ascii="Consolas" w:eastAsia="Calibri" w:hAnsi="Consolas"/>
      <w:sz w:val="21"/>
      <w:szCs w:val="21"/>
      <w:lang w:val="x-none" w:eastAsia="en-US"/>
    </w:rPr>
  </w:style>
  <w:style w:type="character" w:customStyle="1" w:styleId="TextosinformatoCar">
    <w:name w:val="Texto sin formato Car"/>
    <w:link w:val="Textosinformato"/>
    <w:uiPriority w:val="99"/>
    <w:rsid w:val="004D0B3B"/>
    <w:rPr>
      <w:rFonts w:ascii="Consolas" w:hAnsi="Consolas"/>
      <w:sz w:val="21"/>
      <w:szCs w:val="21"/>
      <w:lang w:val="x-none" w:eastAsia="en-US"/>
    </w:rPr>
  </w:style>
  <w:style w:type="paragraph" w:styleId="Revisin">
    <w:name w:val="Revision"/>
    <w:hidden/>
    <w:uiPriority w:val="99"/>
    <w:semiHidden/>
    <w:rsid w:val="004D0B3B"/>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9558729">
      <w:bodyDiv w:val="1"/>
      <w:marLeft w:val="0"/>
      <w:marRight w:val="0"/>
      <w:marTop w:val="0"/>
      <w:marBottom w:val="0"/>
      <w:divBdr>
        <w:top w:val="none" w:sz="0" w:space="0" w:color="auto"/>
        <w:left w:val="none" w:sz="0" w:space="0" w:color="auto"/>
        <w:bottom w:val="none" w:sz="0" w:space="0" w:color="auto"/>
        <w:right w:val="none" w:sz="0" w:space="0" w:color="auto"/>
      </w:divBdr>
    </w:div>
    <w:div w:id="583077379">
      <w:bodyDiv w:val="1"/>
      <w:marLeft w:val="0"/>
      <w:marRight w:val="0"/>
      <w:marTop w:val="0"/>
      <w:marBottom w:val="0"/>
      <w:divBdr>
        <w:top w:val="none" w:sz="0" w:space="0" w:color="auto"/>
        <w:left w:val="none" w:sz="0" w:space="0" w:color="auto"/>
        <w:bottom w:val="none" w:sz="0" w:space="0" w:color="auto"/>
        <w:right w:val="none" w:sz="0" w:space="0" w:color="auto"/>
      </w:divBdr>
    </w:div>
    <w:div w:id="809173982">
      <w:bodyDiv w:val="1"/>
      <w:marLeft w:val="0"/>
      <w:marRight w:val="0"/>
      <w:marTop w:val="0"/>
      <w:marBottom w:val="0"/>
      <w:divBdr>
        <w:top w:val="none" w:sz="0" w:space="0" w:color="auto"/>
        <w:left w:val="none" w:sz="0" w:space="0" w:color="auto"/>
        <w:bottom w:val="none" w:sz="0" w:space="0" w:color="auto"/>
        <w:right w:val="none" w:sz="0" w:space="0" w:color="auto"/>
      </w:divBdr>
    </w:div>
    <w:div w:id="827748491">
      <w:bodyDiv w:val="1"/>
      <w:marLeft w:val="0"/>
      <w:marRight w:val="0"/>
      <w:marTop w:val="0"/>
      <w:marBottom w:val="0"/>
      <w:divBdr>
        <w:top w:val="none" w:sz="0" w:space="0" w:color="auto"/>
        <w:left w:val="none" w:sz="0" w:space="0" w:color="auto"/>
        <w:bottom w:val="none" w:sz="0" w:space="0" w:color="auto"/>
        <w:right w:val="none" w:sz="0" w:space="0" w:color="auto"/>
      </w:divBdr>
    </w:div>
    <w:div w:id="2076120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1ncQqTAuXsPGf/VhMCiBBjYZvlWr1TtccUXFjZwa0QM=</DigestValue>
    </Reference>
    <Reference Type="http://www.w3.org/2000/09/xmldsig#Object" URI="#idOfficeObject">
      <DigestMethod Algorithm="http://www.w3.org/2001/04/xmlenc#sha256"/>
      <DigestValue>3+raCzlkpVWgQhVSJ6Ikm5krRIBqJ7h5jAYtEorhkro=</DigestValue>
    </Reference>
    <Reference Type="http://uri.etsi.org/01903#SignedProperties" URI="#idSignedProperties">
      <Transforms>
        <Transform Algorithm="http://www.w3.org/TR/2001/REC-xml-c14n-20010315"/>
      </Transforms>
      <DigestMethod Algorithm="http://www.w3.org/2001/04/xmlenc#sha256"/>
      <DigestValue>iLbF1/SupBni7rYJKUIJGHPg52AcMXt1bE8RXntpaDc=</DigestValue>
    </Reference>
  </SignedInfo>
  <SignatureValue>QyiqXblxb4Q7UTjGmLFrX+AhyywGa/scCY0jFcdaCRkk77MDG6UoS2nweQYdoAJQtK4KmtAXKbmt
jBV3BK7tLkgc952S+li88pOEP55MBBXAPxnNKI07Xnh0MIvEcIemQcvbMLJRSvrY9KdcP8yUxxH7
NIVhymAiezCIdtIYyMgx6mTB1sppIBW4qP7N9K0uqktboI8BlIBSCscBDsbHn/O5maMv4rZyvZ/X
jODuZ7bIBPTTuqqCF2icK6AhiRdnQcMgsWyK4BCZ0kBLiDy8jn1aRxNaAWQW6ax8E3osv0ou8vDd
tcpn4yaZQXEajMHSM5zOC0GvcVRyVVzV3RNSZg==</SignatureValue>
  <KeyInfo>
    <X509Data>
      <X509Certificate>MIIFuTCCBKGgAwIBAgITFAAM9nU7NxR8n2JGHQABAAz2dTANBgkqhkiG9w0BAQsFADCBmTEZMBcGA1UEBRMQQ1BKLTQtMDAwLTAwNDAxNzELMAkGA1UEBhMCQ1IxJDAiBgNVBAoTG0JBTkNPIENFTlRSQUwgREUgQ09TVEEgUklDQTEiMCAGA1UECxMZRElWSVNJT04gU0lTVEVNQVMgREUgUEFHTzElMCMGA1UEAxMcQ0EgU0lOUEUgLSBQRVJTT05BIEZJU0lDQSB2MjAeFw0yMjAyMTgyMTM4MTBaFw0yNjAyMTcyMTM4MTBaMIG1MRkwFwYDVQQFExBDUEYtMDItMDM5OS0wMTM2MRkwFwYDVQQEExBBTFBJWkFSIFBBTklBR1VBMRQwEgYDVQQqEwtDRUxJQSBNQVJJQTELMAkGA1UEBhMCQ1IxFzAVBgNVBAoTDlBFUlNPTkEgRklTSUNBMRIwEAYDVQQLEwlDSVVEQURBTk8xLTArBgNVBAMTJENFTElBIE1BUklBIEFMUElaQVIgUEFOSUFHVUEgKEZJUk1BKTCCASIwDQYJKoZIhvcNAQEBBQADggEPADCCAQoCggEBALlps+LyaLf2ypuwKJQTI74MS8A9ZPuK4N4UTSN+/j8erT4HokKHCEh0LCigtKgxXqqnfHI0qRWqZTqjo/TKU1G/7Zk9BDwmt3xC69mur+MhJxfF1Hj+WLMKpBRuTM/eWy4eT7dgZhKge1Fj0m8KWa7UV6ua+d/WUZf5oh8shlVAo2VCW9WnC+B16ix9CE9v8/gwQzJxBRoBMx7NrgPQiqs2eIvkqvFUGxzrwjQsMxyKglVLf2FrY+E95Cb4ZhUdZPdc9QfXRyYTm++4VoRlj/wXThJ1AASbfzls6dSs9S9zVubTBZVKvOa1rShfqz8OYUmIVXslr80eR3r4hZC7ntkCAwEAAaOCAdowggHWMB0GA1UdDgQWBBROWLV2GenIRYIZaf2M1X801tqGBjAfBgNVHSMEGDAWgBRfBRhBEN4VLzrpwBaj56FqUtE67DBhBgNVHR8EWjBYMFagVKBShlBodHRwOi8vZmRpLnNpbnBlLmZpLmNyL3JlcG9zaXRvcmlvL0NBJTIwU0lOUEUlMjAtJTIwUEVSU09OQSUyMEZJU0lDQSUyMHYyKDEpLmNybDCBmAYIKwYBBQUHAQEEgYswgYgwXAYIKwYBBQUHMAKGUGh0dHA6Ly9mZGkuc2lucGUuZmkuY3IvcmVwb3NpdG9yaW8vQ0ElMjBTSU5QRSUyMC0lMjBQRVJTT05BJTIwRklTSUNBJTIwdjIoMSkuY3J0MCgGCCsGAQUFBzABhhxodHRwOi8vb2NzcC5zaW5wZS5maS5jci9vY3NwMA4GA1UdDwEB/wQEAwIGwDA9BgkrBgEEAYI3FQcEMDAuBiYrBgEEAYI3FQiFxOpbgtHjNZWRG4L5lxiGpctrgX+BudJygZ6/eAIBZAIBBzATBgNVHSUEDDAKBggrBgEFBQcDBDAbBgkrBgEEAYI3FQoEDjAMMAoGCCsGAQUFBwMEMBUGA1UdIAQOMAwwCgYIYIE8AQEBAQIwDQYJKoZIhvcNAQELBQADggEBAGT2u3IYldLH4hi+yD2A36fg4sUJVGFgVxC2N7r5bsWw1GLpQUUzs6gzzfl3h73KO8jYWZgdeGETsFoXRPGUNMHtG3EtLSuVAJ7kpqmnky4pEWP+tNY9GuMVPSwDdEC8ya1/0wnh0CdUoZo9oOhRMZ+ecsFZZV24SdDKoXe51yoCL/h7Bf2k29M5hQFgZD9YxWSflIxYytvo/1KIXqKkRwDfCCYnOOoBrX2hIPUP/pzXRlPJZc4ZrKiPg9RO1XC0Val6OhAqmuxTCh737vSEOGzCU0Wp6n2JmBgCNHkpE748Bw/yLg7SKcPz7p5/Nv9RNtOk+Qo7vEP68tMOqngX6ck=</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6"/>
            <mdssi:RelationshipReference xmlns:mdssi="http://schemas.openxmlformats.org/package/2006/digital-signature" SourceId="rId6"/>
            <mdssi:RelationshipReference xmlns:mdssi="http://schemas.openxmlformats.org/package/2006/digital-signature" SourceId="rId11"/>
          </Transform>
          <Transform Algorithm="http://www.w3.org/TR/2001/REC-xml-c14n-20010315"/>
        </Transforms>
        <DigestMethod Algorithm="http://www.w3.org/2001/04/xmlenc#sha256"/>
        <DigestValue>lJPlkAhtuvvhJc2i5upe/oa7mQPwS6JxaFeqqzfBr3s=</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Pnj5XsRhdgF7uR+rJJZe77a5InmO8dwjV/watFSBFx4=</DigestValue>
      </Reference>
      <Reference URI="/word/document.xml?ContentType=application/vnd.openxmlformats-officedocument.wordprocessingml.document.main+xml">
        <DigestMethod Algorithm="http://www.w3.org/2001/04/xmlenc#sha256"/>
        <DigestValue>4m60oPRgpLUKN5sX7cFyM1/ypd+rEuHhOTHYuRR1LPc=</DigestValue>
      </Reference>
      <Reference URI="/word/endnotes.xml?ContentType=application/vnd.openxmlformats-officedocument.wordprocessingml.endnotes+xml">
        <DigestMethod Algorithm="http://www.w3.org/2001/04/xmlenc#sha256"/>
        <DigestValue>mOx37Py5Pa5S0p+M466Tde6T1dgcshiHoz8zJYDu8Xs=</DigestValue>
      </Reference>
      <Reference URI="/word/fontTable.xml?ContentType=application/vnd.openxmlformats-officedocument.wordprocessingml.fontTable+xml">
        <DigestMethod Algorithm="http://www.w3.org/2001/04/xmlenc#sha256"/>
        <DigestValue>igg887FhT86435/ongFqxyfbUqxqG6GfaJ+FyOzIklU=</DigestValue>
      </Reference>
      <Reference URI="/word/footer1.xml?ContentType=application/vnd.openxmlformats-officedocument.wordprocessingml.footer+xml">
        <DigestMethod Algorithm="http://www.w3.org/2001/04/xmlenc#sha256"/>
        <DigestValue>oPLsuHv2i/DY2k5bxH2sFr8ac+YjC1rq2ImswniuB2w=</DigestValue>
      </Reference>
      <Reference URI="/word/footnotes.xml?ContentType=application/vnd.openxmlformats-officedocument.wordprocessingml.footnotes+xml">
        <DigestMethod Algorithm="http://www.w3.org/2001/04/xmlenc#sha256"/>
        <DigestValue>1pu7kqe1Hj3EDe6hvC6XyYjDKk9PDXv1TMFkylzlHdo=</DigestValue>
      </Reference>
      <Reference URI="/word/header1.xml?ContentType=application/vnd.openxmlformats-officedocument.wordprocessingml.header+xml">
        <DigestMethod Algorithm="http://www.w3.org/2001/04/xmlenc#sha256"/>
        <DigestValue>tuP6JVMCQZbOb6uCxXzsXYFrcQa0IjcGrPBHoFSutJQ=</DigestValue>
      </Reference>
      <Reference URI="/word/media/image1.jpeg?ContentType=image/jpeg">
        <DigestMethod Algorithm="http://www.w3.org/2001/04/xmlenc#sha256"/>
        <DigestValue>ZXjuZ3zB0+z18XIrPbhYf1rfidEzDtaheIy//dbr6Ps=</DigestValue>
      </Reference>
      <Reference URI="/word/media/image2.emf?ContentType=image/x-emf">
        <DigestMethod Algorithm="http://www.w3.org/2001/04/xmlenc#sha256"/>
        <DigestValue>6D9fsnsTUIQVb1moA3vonYu3AAHKfuvQ1QJ7V/PvmYM=</DigestValue>
      </Reference>
      <Reference URI="/word/numbering.xml?ContentType=application/vnd.openxmlformats-officedocument.wordprocessingml.numbering+xml">
        <DigestMethod Algorithm="http://www.w3.org/2001/04/xmlenc#sha256"/>
        <DigestValue>o9IqH0A584KcYfsHa00OgI6AxA888xnxSBdeA+BPCcM=</DigestValue>
      </Reference>
      <Reference URI="/word/settings.xml?ContentType=application/vnd.openxmlformats-officedocument.wordprocessingml.settings+xml">
        <DigestMethod Algorithm="http://www.w3.org/2001/04/xmlenc#sha256"/>
        <DigestValue>bZhcxD6oU9/xzW2Hf3A4DJBOOShux5317RCkXyvTC8A=</DigestValue>
      </Reference>
      <Reference URI="/word/styles.xml?ContentType=application/vnd.openxmlformats-officedocument.wordprocessingml.styles+xml">
        <DigestMethod Algorithm="http://www.w3.org/2001/04/xmlenc#sha256"/>
        <DigestValue>MAVNbDRtVbdOQ+mOELpyQGThFQTeT9ShychdcEN0+yc=</DigestValue>
      </Reference>
      <Reference URI="/word/theme/theme1.xml?ContentType=application/vnd.openxmlformats-officedocument.theme+xml">
        <DigestMethod Algorithm="http://www.w3.org/2001/04/xmlenc#sha256"/>
        <DigestValue>pta+caFc6FvsHC7/7wgyUOb2CzzArGpjIwcYCl6aME8=</DigestValue>
      </Reference>
      <Reference URI="/word/webSettings.xml?ContentType=application/vnd.openxmlformats-officedocument.wordprocessingml.webSettings+xml">
        <DigestMethod Algorithm="http://www.w3.org/2001/04/xmlenc#sha256"/>
        <DigestValue>0eJi65kyZ/3/tdvGv/eZJvq56S8aMirrtz5258BMtdQ=</DigestValue>
      </Reference>
    </Manifest>
    <SignatureProperties>
      <SignatureProperty Id="idSignatureTime" Target="#idPackageSignature">
        <mdssi:SignatureTime xmlns:mdssi="http://schemas.openxmlformats.org/package/2006/digital-signature">
          <mdssi:Format>YYYY-MM-DDThh:mm:ssTZD</mdssi:Format>
          <mdssi:Value>2022-06-02T22:08:06Z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16.0.13801/22</OfficeVersion>
          <ApplicationVersion>16.0.13801</ApplicationVersion>
          <Monitors>2</Monitors>
          <HorizontalResolution>1366</HorizontalResolution>
          <VerticalResolution>768</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2022-06-02T22:08:06Z</xd:SigningTime>
          <xd:SigningCertificate>
            <xd:Cert>
              <xd:CertDigest>
                <DigestMethod Algorithm="http://www.w3.org/2001/04/xmlenc#sha256"/>
                <DigestValue>tvltnmUoOoYNCpYN/JVDvOnLF+x9Ha4IJ8GDRqL4zVM=</DigestValue>
              </xd:CertDigest>
              <xd:IssuerSerial>
                <X509IssuerName>CN=CA SINPE - PERSONA FISICA v2, OU=DIVISION SISTEMAS DE PAGO, O=BANCO CENTRAL DE COSTA RICA, C=CR, SERIALNUMBER=CPJ-4-000-004017</X509IssuerName>
                <X509SerialNumber>446019314957802235686068893079447094124410485</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NJzCCCw+gAwIBAgITSwAAAAXb/gO1NXUawwAAAAAABTANBgkqhkiG9w0BAQ0FADB9MRkwFwYDVQQFExBDUEotMi0xMDAtMDk4MzExMQswCQYDVQQGEwJDUjEPMA0GA1UEChMGTUlDSVRUMQ0wCwYDVQQLEwREQ0ZEMTMwMQYDVQQDEypDQSBQT0xJVElDQSBQRVJTT05BIEZJU0lDQSAtIENPU1RBIFJJQ0EgdjIwHhcNMTkxMjIwMjE1NDAxWhcNMjcxMjIwMjIwNDAxWjCBmTEZMBcGA1UEBRMQQ1BKLTQtMDAwLTAwNDAxNzELMAkGA1UEBhMCQ1IxJDAiBgNVBAoTG0JBTkNPIENFTlRSQUwgREUgQ09TVEEgUklDQTEiMCAGA1UECxMZRElWSVNJT04gU0lTVEVNQVMgREUgUEFHTzElMCMGA1UEAxMcQ0EgU0lOUEUgLSBQRVJTT05BIEZJU0lDQSB2MjCCASIwDQYJKoZIhvcNAQEBBQADggEPADCCAQoCggEBAPs79a3v0DTxTENn/EiPxLtGHjLTEaACg7j8gIQpw2ayZmLBpXmxIHF83NPw2Lhf72t6WqZlVog/FQzT6c13PupFuEKpgrd/3Kz+InUVCyzn2PrfEk72DDpSTs25SEgNEBe8tNBflhnWDUfJdYBmHxbiz+ax9ogui3IoZ38MkhIruPni2KxEuc93OMGCLqSg9Fh91l6NAvFPCd44bKrWt9WTn1mDpgkYMqLXvSJfmrUc39t+mYBYvmzzvhaDGiGa44c1v3UEMtLCkCZxr4JX15p6nHHrro1Ht4rYbjZE+UgsvfU3iIruGsOrOmyAPTd8ESwGnmR8cVUtjvuJAzAgB2UCAwEAAaOCCIEwggh9MBIGCSsGAQQBgjcVAQQFAgMBAAEwIwYJKwYBBAGCNxUCBBYEFOY7fUWsDL4+b/VRuCuH6tVnKOHWMB0GA1UdDgQWBBRfBRhBEN4VLzrpwBaj56FqUtE67DCCBdYGA1UdIASCBc0wggXJMIIBFAYHYIE8AQEBATCCAQcwgaYGCCsGAQUFBwICMIGZHoGWAEkAbQBwAGwAZQBtAGUAbgB0AGEAIABsAGEAIABQAG8AbABpAHQAaQBjAGEAIABkAGUAIABsAGEAIABSAGEAaQB6ACAAQwBvAHMAdABhAHIAcgBpAGMAZQBuAHMAZQAgAGQAZQAgAEMAZQByAHQAaQBmAGkAYwBhAGMAaQBvAG4AIABEAGkAZwBpAHQAYQBsACAAdgAyMCoGCCsGAQUFBwIBFh5odHRwOi8vd3d3LmZpcm1hZGlnaXRhbC5nby5jcgAwMAYIKwYBBQUHAgEWJGh0dHA6Ly93d3cubWljaXQuZ28uY3IvZmlybWFkaWdpdGFsADCCAVUGCGCBPAEBAQEBMIIBRzCB5gYIKwYBBQUHAgIwgdkegdYASQBtAHAAbABlAG0AZQBuAHQAYQAgAGwAYQAgAFAAbwBsAGkAdABpAGMAYQAgAGQAZQAgAEMAQQAgAEUAbQBpAHMAbwByAGEAIABwAGEAcgBhACAAUABlAHIAcwBvAG4AYQBzACAARgBpAHMAaQBjAGEAcwAgAHAAZQByAHQAZQBuAGUAYwBpAGUAbgB0AGUAIABhACAAbABhACAAUABLAEkAIABOAGEAYwBpAG8AbgBhAGwAIABkAGUAIABDAG8AcwB0AGEAIABSAGkAYwBhACAAdgAyMCoGCCsGAQUFBwIBFh5odHRwOi8vd3d3LmZpcm1hZGlnaXRhbC5nby5jcgAwMAYIKwYBBQUHAgEWJGh0dHA6Ly93d3cubWljaXQuZ28uY3IvZmlybWFkaWdpdGFsADCCAagGCGCBPAEBAQECMIIBmjCCATgGCCsGAQUFBwICMIIBKh6CASYASQBtAHAAbABlAG0AZQBuAHQAYQAgAGwAYQAgAFAAbwBsAGkAdABpAGMAYQAgAHAAYQByAGEAIABjAGUAcgB0AGkAZgBpAGMAYQBkAG8AIABkAGUAIABmAGkAcgBtAGEAIABkAGkAZwBpAHQAYQBsACAAZABlACAAcABlAHIAcwBvAG4AYQBzACAAZgBpAHMAaQBjAGEAcwAgACgAYwBpAHUAZABhAGQAYQBuAG8ALwByAGUAcwBpAGQAZQBuAHQAZQApACAAcABlAHIAdABlAG4AZQBjAGkAZQBuAHQAZQAgAGEAIABsAGEAIABQAEsASQAgAE4AYQBjAGkAbwBuAGEAbAAgAGQAZQAgAEMAbwBzAHQAYQAgAFIAaQBjAGEAIAB2ADIwKgYIKwYBBQUHAgEWHmh0dHA6Ly93d3cuZmlybWFkaWdpdGFsLmdvLmNyADAwBggrBgEFBQcCARYkaHR0cDovL3d3dy5taWNpdC5nby5jci9maXJtYWRpZ2l0YWwAMIIBqAYIYIE8AQEBAQMwggGaMIIBOAYIKwYBBQUHAgIwggEqHoIBJg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QAgAHYAMjAqBggrBgEFBQcCARYeaHR0cDovL3d3dy5maXJtYWRpZ2l0YWwuZ28uY3IAMDAGCCsGAQUFBwIBFiRodHRwOi8vd3d3Lm1pY2l0LmdvLmNyL2Zpcm1hZGlnaXRhbAAwGQYJKwYBBAGCNxQCBAweCgBTAHUAYgBDAEEwCwYDVR0PBAQDAgGGMBIGA1UdEwEB/wQIMAYBAf8CAQAwHwYDVR0jBBgwFoAUaJ1pNsuEbnvqk2EZ/1gwHdX/XMswgeoGA1UdHwSB4jCB3zCB3KCB2aCB1oZmaHR0cDovL3d3dy5maXJtYWRpZ2l0YWwuZ28uY3IvcmVwb3NpdG9yaW8vQ0ElMjBQT0xJVElDQSUyMFBFUlNPTkElMjBGSVNJQ0ElMjAtJTIwQ09TVEElMjBSSUNBJTIwdjIuY3JshmxodHRwOi8vd3d3Lm1pY2l0LmdvLmNyL2Zpcm1hZGlnaXRhbC9yZXBvc2l0b3Jpby9DQSUyMFBPTElUSUNBJTIwUEVSU09OQSUyMEZJU0lDQSUyMC0lMjBDT1NUQSUyMFJJQ0ElMjB2Mi5jcmwwgf4GCCsGAQUFBwEBBIHxMIHuMHIGCCsGAQUFBzAChmZodHRwOi8vd3d3LmZpcm1hZGlnaXRhbC5nby5jci9yZXBvc2l0b3Jpby9DQSUyMFBPTElUSUNBJTIwUEVSU09OQSUyMEZJU0lDQSUyMC0lMjBDT1NUQSUyMFJJQ0ElMjB2Mi5jcnQweAYIKwYBBQUHMAKGbGh0dHA6Ly93d3cubWljaXQuZ28uY3IvZmlybWFkaWdpdGFsL3JlcG9zaXRvcmlvL0NBJTIwUE9MSVRJQ0ElMjBQRVJTT05BJTIwRklTSUNBJTIwLSUyMENPU1RBJTIwUklDQSUyMHYyLmNydDANBgkqhkiG9w0BAQ0FAAOCAgEAT3K7mmQqxoC5unYq2HAmupjYoVBoteb52nCmG5c9LLuUiCuLTFIrd18m1zcYwx8Jc/e4bAJ52U9G1U0QGT/jq66JTlMXoEQjN/fs1J5uri5mKAourLjUyp/ieiCHAOgk1oQW1gV7YauqJDHkNM4mXdSW7aymQyZ8UgekILH5fgX9bCEP/uxfxyAxVnBABb+WEsjSnNHnRkwW2PjiSJ93+9xtj5OXfux+GqqtmArmpsUYw/tZClOQjt6YLuiokNpK+ZOyTTcyDSZ9LMnW90Lgsmp8Bkq5pRwmtzX+UPRxLjaRiOQMXbC8a4UQYtz6G/8PPrPDivg/Nj6qVAIawdbVwiVCkFbHgGFFhgyS3R2gLK6Dsa4m6vDzdRhkB7GmnVr0x4wNT8xmpuc/edVVSZlK76Kt/DVt8DGR8tZlK1ZVU4b1v84UWcbVyEhtcfCI1V/a9GQzEL0IAi2OwNmWiQwMIBVl59FPqyUNXT1k2B0GMu6Z7VHnNwGvurvZ75pcv2oj22xnGQmY0l+kMXmBS7LCeBZ4Rrqab0bvbD+9wmno3rFDBpOGsFG1ue6E4uzKCGwheroOtznjEU53/Q5mjBtar9fn5a2i9QvPMHxuiNt1Ey9wRgrHukRd5e2ZWYWZbebOXc+qmQoou0VAwhW7+/RClDSRmOZ62nh9q2UEeh0rIi8=</xd:EncapsulatedX509Certificate>
            <xd:EncapsulatedX509Certificate>MIIMrDCCCpSgAwIBAgITTgAAAAJzjeZ3/o5oQAAAAAAAAjANBgkqhkiG9w0BAQ0FADBzMRkwFwYDVQQFExBDUEotMi0xMDAtMDk4MzExMQ0wCwYDVQQLEwREQ0ZEMQ8wDQYDVQQKEwZNSUNJVFQxCzAJBgNVBAYTAkNSMSkwJwYDVQQDEyBDQSBSQUlaIE5BQ0lPTkFMIC0gQ09TVEEgUklDQSB2MjAeFw0xNTAyMjUxODA4MzhaFw0zMTAyMjUxODE4MzhaMH0xGTAXBgNVBAUTEENQSi0yLTEwMC0wOTgzMTExCzAJBgNVBAYTAkNSMQ8wDQYDVQQKEwZNSUNJVFQxDTALBgNVBAsTBERDRkQxMzAxBgNVBAMTKkNBIFBPTElUSUNBIFBFUlNPTkEgRklTSUNBIC0gQ09TVEEgUklDQSB2MjCCAiIwDQYJKoZIhvcNAQEBBQADggIPADCCAgoCggIBANkkXhbXpjPWMmmjmKLZBpk+EsM/nBp0JgPBtQFmnmA0d4fPlKXy8/sD0buS1QRDZZAerSvprfyaiKPAEpZpOWCl2fu46MQyyTa1DjH/ellvjADlOueC3p3O9qG5JIUrhuLTcx5G+eYyoJIURNob9O4Ur52+eTOYYqvJIYomKLc+/2pbJ0SApv+2m3p3oAp2SjTeWTMKVH6sPgqMD2izWJ3xChCefu2yec7NYaGjS1aMefYDIN2uklX7IhBTf9ErGGIPQ6Jmgoe5GvYfLB7O1BgaTcC3ZIwvGfoAowfiRYOzLfnuxuuTkUWFfafcYJTUYEkZimHeyEWh41M+kOkZE/q5jwQkfgTLGV+UQpVGMKSkzsW5EdgcI51ynZBkunnJsglTys66EEfAnoLr3uhiS67AE2Qqvvp7NOUUG1YCm7WOyEvVt1QbZUlkLZRxhlF5SKjmzhqruisBfmUz6tX6WO3EJyNT5N62YwQxSULOatx90ztuxzCHHhCcoh3xOWhWYtTwx4F2QDiRqfXfyTw9Te4CGlzmOYSQIdnOeTUTkDZ3WOxs2bAGgmGQQL+WtzIW3qj2xtspV4F7owwjlG+jhNHJzbjVxoYJoUJmyR8NCBYkdl/iNxewSUcOseZz+VVvlYJrcI1pRuJ1cnhyvWF/ymc8N1ZGtUMauSelr1tBGakNAgMBAAGjggctMIIHKTAQBgkrBgEEAYI3FQEEAwIBADAdBgNVHQ4EFgQUaJ1pNsuEbnvqk2EZ/1gwHdX/XMswggTcBgNVHSAEggTTMIIEzzCCARQGB2CBPAEBAQEwggEHMIGmBggrBgEFBQcCAjCBmR6BlgBJAG0AcABsAGUAbQBlAG4AdABhACAAbABhACAAUABvAGwAaQB0AGkAYwBhACAAZABlACAAbABhACAAUgBhAGkAegAgAEMAbwBzAHQAYQByAHIAaQBjAGUAbgBzAGUAIABkAGUAIABDAGUAcgB0AGkAZgBpAGMAYQBjAGkAbwBuACAARABpAGcAaQB0AGEAbAAgAHYAMjAqBggrBgEFBQcCARYeaHR0cDovL3d3dy5maXJtYWRpZ2l0YWwuZ28uY3IAMDAGCCsGAQUFBwIBFiRodHRwOi8vd3d3Lm1pY2l0LmdvLmNyL2Zpcm1hZGlnaXRhbAAwggFVBghggTwBAQEBATCCAUcwgeYGCCsGAQUFBwICMIHZHoHWAEkAbQBwAGwAZQBtAGUAbgB0AGEAIABsAGEAIABwAG8AbABpAHQAaQBjAGEAIABkAGUAIABDAEEAIABFAG0AaQBzAG8AcgBhACAAcABhAHIAYQAgAFAAZQByAHMAbwBuAGEAcwAgAEYAaQBzAGkAYwBhAHMAIABwAGUAcgB0AGUAbgBlAGMAaQBlAG4AdABlACAAYQAgAGwAYQAgAFAASwBJACAATgBhAGMAaQBvAG4AYQBsACAAZABlACAAQwBvAHMAdABhACAAUgBpAGMAYQAgAHYAMjAqBggrBgEFBQcCARYeaHR0cDovL3d3dy5maXJtYWRpZ2l0YWwuZ28uY3IAMDAGCCsGAQUFBwIBFiRodHRwOi8vd3d3Lm1pY2l0LmdvLmNyL2Zpcm1hZGlnaXRhbAAwggErBghggTwBAQEBAjCCAR0wgbwGCCsGAQUFBwICMIGvHoGsAEkAbQBwAGwAZQBtAGUAbgB0AGEAIABsAGEAIABwAG8AbABpAHQAaQBjAGEAIABwAGEAcgBhACAAZgBpAHIAbQBhACAAZABpAGcAaQB0AGEAbAAgAGQAZQAgAHAAZQByAHMAbwBuAGEAcwAgAGYAaQBzAGkAYwBhAHMAIAAoAGMAaQB1AGQAYQBkAGEAbgBvAC8AcgBlAHMAaQBkAGUAbgB0AGUAKQAgAHYAMjAqBggrBgEFBQcCARYeaHR0cDovL3d3dy5maXJtYWRpZ2l0YWwuZ28uY3IAMDAGCCsGAQUFBwIBFiRodHRwOi8vd3d3Lm1pY2l0LmdvLmNyL2Zpcm1hZGlnaXRhbAAwggErBghggTwBAQEBAzCCAR0wgbwGCCsGAQUFBwICMIGvHoGsAEkAbQBwAGwAZQBtAGUAbgB0AGEAIABsAGEAIABwAG8AbABpAHQAaQBjAGEAIABwAGEAcgBhACAAYQB1AHQAZQBuAHQAaQBjAGEAYwBpAG8AbgAgAGQAZQAgAHAAZQByAHMAbwBuAGEAcwAgAGYAaQBzAGkAYwBhAHMAIAAoAGMAaQB1AGQAYQBkAGEAbgBvAC8AcgBlAHMAaQBkAGUAbgB0AGUAKQAgAHYAMjAqBggrBgEFBQcCARYeaHR0cDovL3d3dy5maXJtYWRpZ2l0YWwuZ28uY3IAMDAGCCsGAQUFBwIBFiRodHRwOi8vd3d3Lm1pY2l0LmdvLmNyL2Zpcm1hZGlnaXRhbAAwGQYJKwYBBAGCNxQCBAweCgBTAHUAYgBDAEEwCwYDVR0PBAQDAgGGMA8GA1UdEwEB/wQFMAMBAf8wHwYDVR0jBBgwFoAU4PL+fcRETlDkNf0IiY9OhBlEM0AwgdIGA1UdHwSByjCBxzCBxKCBwaCBvoZaaHR0cDovL3d3dy5maXJtYWRpZ2l0YWwuZ28uY3IvcmVwb3NpdG9yaW8vQ0ElMjBSQUlaJTIwTkFDSU9OQUwlMjAtJTIwQ09TVEElMjBSSUNBJTIwdjIuY3JshmBodHRwOi8vd3d3Lm1pY2l0LmdvLmNyL2Zpcm1hZGlnaXRhbC9yZXBvc2l0b3Jpby9DQSUyMFJBSVolMjBOQUNJT05BTCUyMC0lMjBDT1NUQSUyMFJJQ0ElMjB2Mi5jcmwwgeYGCCsGAQUFBwEBBIHZMIHWMGYGCCsGAQUFBzAChlpodHRwOi8vd3d3LmZpcm1hZGlnaXRhbC5nby5jci9yZXBvc2l0b3Jpby9DQSUyMFJBSVolMjBOQUNJT05BTCUyMC0lMjBDT1NUQSUyMFJJQ0ElMjB2Mi5jcnQwbAYIKwYBBQUHMAKGYGh0dHA6Ly93d3cubWljaXQuZ28uY3IvZmlybWFkaWdpdGFsL3JlcG9zaXRvcmlvL0NBJTIwUkFJWiUyME5BQ0lPTkFMJTIwLSUyMENPU1RBJTIwUklDQSUyMHYyLmNydDANBgkqhkiG9w0BAQ0FAAOCAgEAv5rU86FMttoAqCsAJGUQl7DboiQosF/FAvhX0YhsfYWRyUL5BOmuWjIMNuljuU5Lc6BR5eWePSUkOe3acDzslBkUjKzyNRZNQA7IXkuVs1arFT5djjhGiCdzwH7+rFekbNxicdhWJSJ7Fge5dMTkErgDJDERAWfePgzg55hacoTCgX0RkBQDZ08UJMVNgNuogfGGfXYgliwoFj4SnwktHjJHmAptQyLi+tCrt4VWr8+G34FFL51bAvio+RABqD7nu26cnnyNvZ5Ce4oMIcPxUkMX/LINqOFUjY75CcBhovqUJYEobbR9cvMcu3EC2su5asHDWjZxiUQrvSRHvH+7jNYuSk84THfiNcZq99o9ra/pG3ufO07ox1IHDDlX6LX6lTt6DbKw+5Z5L9I4GphhcxWxIdeNmg7xq60Cfy02sqLHeelOoweJLr97rliieeZkXXkGRN62z+1/ZcdS4gj1v+JKHiYLquTkxZFVCo/GmjC5IfUV5SrwtF7vfsJF9HkdaEcsQ9iuKOS28OR4vR0baEsCvlMotJn3jMFbFYO/v/e9P/79T3e+cVi/Va//avW1jxgCQGvTkca6RfqTr3WkMrnwZhHBvTvu0utoIRruw4vpbboFbrm6kkRbMYlA7YopUEBsMW+iqjp6jzifnlluqriqPuBAfmTv8ASr8JE8Ytw=</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SignatureTimeStamp>
            <CanonicalizationMethod Algorithm="http://www.w3.org/TR/2001/REC-xml-c14n-20010315"/>
            <xd:EncapsulatedTimeStamp>MIIK0gYJKoZIhvcNAQcCoIIKwzCCCr8CAQMxDzANBglghkgBZQMEAgEFADBzBgsqhkiG9w0BCRABBKBkBGIwYAIBAQYIYIE8AQEBAQUwMTANBglghkgBZQMEAgEFAAQg8SX88L2BfDpNEIXwpGsRym4fU/j+KVlCX9Rp8T5kAwcCBA9paq8YDzIwMjIwNjAyMjIwODA4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yMDYwMjIyMDgwOFowLwYJKoZIhvcNAQkEMSIEICZu5xWvLAacRHfw5eT2C5AT5H7O4YaENcjjZqabpqVzMDcGCyqGSIb3DQEJEAIvMSgwJjAkMCIEIDcrk3iY5iZu+N7/iFpVKDYeTZ9u7elabVQcL5d9tumpMA0GCSqGSIb3DQEBAQUABIIBAGNLfWi13TjkF9af4XnAzLLMM0kcEnv4vXmeRbBKnklQDf5GpJXhdHE1fUYeo02A1Jis438jB7+842LFdcR1tgUgHlsLVszuL8KgzqVNgVGdrK5hD/KxRjli9OBTYKgArsJRo/tWmshgfV4iQHWR6SEncIffGKlGk6xbwAxDGgezM5l3Dff2C5BTICv3NDnK3aKIWTYq3Cj7/bbDKYmNf9ui+FWkCI+sNJ31LXdpYn/Hb6hxJIHGbt7IUalYBWyA9S6ESAMFtj58JmbmsaCXN0VuYLNtpNyaiZuXaLZrK9KHVjyxbiJ7oANANEYZTjN/qDyDtUIyu3W6kZ82WZgLboY=</xd:EncapsulatedTimeStamp>
          </xd:SignatureTimeStamp>
          <TimeStampValidationData xmlns="http://uri.etsi.org/01903/v1.4.1#">
            <xd:CertificateValues>
              <xd:EncapsulatedX509Certificate>MIILkzCCCXugAwIBAgITTgAAAASYOR/4A7hb3AAAAAAABDANBgkqhkiG9w0BAQ0FADBzMRkwFwYDVQQFExBDUEotMi0xMDAtMDk4MzExMQ0wCwYDVQQLEwREQ0ZEMQ8wDQYDVQQKEwZNSUNJVFQxCzAJBgNVBAYTAkNSMSkwJwYDVQQDEyBDQSBSQUlaIE5BQ0lPTkFMIC0gQ09TVEEgUklDQSB2MjAeFw0xNTAyMjUyMTQ3NDNaFw0zMTAyMjUyMTU3NDNaMIGAMRkwFwYDVQQFExBDUEotMi0xMDAtMDk4MzExMQswCQYDVQQGEwJDUjEPMA0GA1UEChMGTUlDSVRUMQ0wCwYDVQQLEwREQ0ZEMTYwNAYDVQQDEy1DQSBQT0xJVElDQSBTRUxMQURPIERFIFRJRU1QTyAtIENPU1RBIFJJQ0EgdjIwggIiMA0GCSqGSIb3DQEBAQUAA4ICDwAwggIKAoICAQC2m5S5sYbQiWTklYT8+i9PCNAXS/Mw/TByDhY7zNP7WyJtPSUnSbQRLdQ3hMPuJ6iVgoZWNKx1TJ7MzNVPOv713eEcqqDm69XWSSaQJEz3HbTAVC23V3PJcEuuQfJuKZ+7YP2VMMhBj73UoJdQqMx3nJpECJDjzCrCZHEPtusDRa1+CEmm61ghSDKwUvjow98rkuBvu837MWb3iDj9y8KbbKvme4CPRiAnmZv9N8H5q1zrO6EmWX46+z4ofkUji7flDLzVxCG9b3irrGf7ig+IzfXBBqyr/OLNg32xKZNdezbSKDRsjHxQMpeS6vHu+spOPK65ujLhjTLNHF5v31x+fFPiz++Iz1DoUfTpEz/GlB3Z6HceP2eKgghwOrEgzZ9sT+l0aGxolASLeiiyW73TWyuL1ubRPaJV41ZfFzgZcb7b/LDei31claIEm+OMPEF1s5dfjsAByXqQCl0UUuTYqaBT8N8OC7qh/KZYQx4jbdgl2vvgR/bnaD1VO6AEbySBHW7sG1XgDkjKsPZr2EtnacZ6pdAlAI69pYPabwOo5wvJhKhFXh3ymhV5JNThCpbqGX+7x1eL8eTfelvsbmmnZtS5+Rtol9bsSLG/BAwhNHJmFHvnbper5cHJ4TPmz+k0aveKM2i+yGeRcp/0N5ZOKoWCia4apU7RcBZnTFVFfQIDAQABo4IGEDCCBgwwEAYJKwYBBAGCNxUBBAMCAQAwHQYDVR0OBBYEFLC74AguSxNo8NCARANnpD//JWP2MIIDvwYDVR0gBIIDtjCCA7IwggEUBgdggTwBAQEBMIIBBzCBpgYIKwYBBQUHAgIwgZkegZYASQBtAHAAbABlAG0AZQBuAHQAYQAgAGwAYQAgAFAAbwBsAGkAdABpAGMAYQAgAGQAZQAgAGwAYQAgAFIAYQBpAHoAIABDAG8AcwB0AGEAcgByAGkAYwBlAG4AcwBlACAAZABlACAAQwBlAHIAdABpAGYAaQBjAGEAYwBpAG8AbgAgAEQAaQBnAGkAdABhAGwAIAB2ADIwKgYIKwYBBQUHAgEWHmh0dHA6Ly93d3cuZmlybWFkaWdpdGFsLmdvLmNyADAwBggrBgEFBQcCARYkaHR0cDovL3d3dy5taWNpdC5nby5jci9maXJtYWRpZ2l0YWwAMIIBWwYIYIE8AQEBAQEwggFNMIHsBggrBgEFBQcCAjCB3x6B3ABJAG0AcABsAGUAbQBlAG4AdABhACAAbABhACAAUABvAGwAaQB0AGkAYwBhACAAYwBvAG0AbwAgAEMAQQAgAEUAbQBpAHMAbwByAGEAIABwAGEAcgBhACAAUwBlAGwAbABhAGQAbwAgAGQAZQAgAFQAaQBlAG0AcABvACAAcABlAHIAdABlAG4AZQBjAGkAZQBuAHQAZQAgAGEAIABsAGEAIABQAEsASQAgAE4AYQBjAGkAbwBuAGEAbAAgAGQAZQAgAEMAbwBzAHQAYQAgAFIAaQBjAGEAIAB2ADIwKgYIKwYBBQUHAgEWHmh0dHA6Ly93d3cuZmlybWFkaWdpdGFsLmdvLmNyADAwBggrBgEFBQcCARYkaHR0cDovL3d3dy5taWNpdC5nby5jci9maXJtYWRpZ2l0YWwAMIIBNwYIYIE8AQEBAQUwggEpMIHIBggrBgEFBQcCAjCBux6BuABJAG0AcABsAGUAbQBlAG4AdABhACAAbABhACAAUABvAGwAaQB0AGkAYwBhACAAZABlACAAUwBlAGwAbABhAGQAbwAgAGQAZQAgAFQAaQBlAG0AcABvACAAZABlAGwAIABTAGkAcwB0AGUAbQBhACAATgBhAGMAaQBvAG4AYQBsACAAZABlACAAQwBlAHIAdABpAGYAaQBjAGEAYwBpAG8AbgAgAEQAaQBnAGkAdABhAGwAIAB2ADIwKgYIKwYBBQUHAgEWHmh0dHA6Ly93d3cuZmlybWFkaWdpdGFsLmdvLmNyADAwBggrBgEFBQcCARYkaHR0cDovL3d3dy5taWNpdC5nby5jci9maXJtYWRpZ2l0YWwAMBkGCSsGAQQBgjcUAgQMHgoAUwB1AGIAQwBBMAsGA1UdDwQEAwIBhjAPBgNVHRMBAf8EBTADAQH/MB8GA1UdIwQYMBaAFODy/n3ERE5Q5DX9CImPToQZRDNAMIHSBgNVHR8EgcowgccwgcSggcGggb6GWmh0dHA6Ly93d3cuZmlybWFkaWdpdGFsLmdvLmNyL3JlcG9zaXRvcmlvL0NBJTIwUkFJWiUyME5BQ0lPTkFMJTIwLSUyMENPU1RBJTIwUklDQSUyMHYyLmNybIZgaHR0cDovL3d3dy5taWNpdC5nby5jci9maXJtYWRpZ2l0YWwvcmVwb3NpdG9yaW8vQ0ElMjBSQUlaJTIwTkFDSU9OQUwlMjAtJTIwQ09TVEElMjBSSUNBJTIwdjIuY3JsMIHmBggrBgEFBQcBAQSB2TCB1jBmBggrBgEFBQcwAoZaaHR0cDovL3d3dy5maXJtYWRpZ2l0YWwuZ28uY3IvcmVwb3NpdG9yaW8vQ0ElMjBSQUlaJTIwTkFDSU9OQUwlMjAtJTIwQ09TVEElMjBSSUNBJTIwdjIuY3J0MGwGCCsGAQUFBzAChmBodHRwOi8vd3d3Lm1pY2l0LmdvLmNyL2Zpcm1hZGlnaXRhbC9yZXBvc2l0b3Jpby9DQSUyMFJBSVolMjBOQUNJT05BTCUyMC0lMjBDT1NUQSUyMFJJQ0ElMjB2Mi5jcnQwDQYJKoZIhvcNAQENBQADggIBADnF0LdoBRhNynIHrWcNmRTmX3HqQBdO7rIIqhZvDdfVj/Ew2Io73K/eW3DRI28HmV545pRKxU5lKeZy7szI+W8+ZTApBGZgQErw5Klfk20b2bul15OEYphIz3d1NC2lQG5PggpO9KQtHEMeGCDx569UKsYekBaWfz7q7V7a+k4xFGKJFNyKQP0HAsmpfLSuJvqRrEORuQpNRxGzljIF3N1VTwzFTnW2sH7DBVoH3a/Viggs8BXqBpp2bqdfUJKiwgCmY//9fBP1zLiyEKthG1lKmzs06OdjmWeqL/6QBlfBbQtecqrfHIfJAnkwsIGXGLd39cM0jAZFnENl2z5unJnHdCLnxro/ct06E7bYJ4MJcWA9s4IrDREHjSAO4PczDzE0W/a0cpGDdYGvXIuH3qRV1LutTmecxC5+mALhBEWV1JAAr0W7LAWTRBtwjHNas9AVxb4SOGbtEV9jabics2QqNU08PiMROjuM/qnKACR5euRZG6k8eP7ft1n3ufHmP9FpPz5jWF37m4ciVm/3VJTA/RvBkzwGFdISOyOUx0Ei4wx8z2MeGaa0ZEhY7kwOugT6Jsi/npc/tVcDxCo35g4cz47tFkY4r2hoUTPqvrlStanbwdI5xD3P3j2Z7rVwal+R/Nx3Ma6EP+mf73m8w+KdZHrQbL/oXIB9A/GW+roN</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RevocationValues>
              <xd:CRLValues>
                <xd:EncapsulatedCRLValue>MIIDLDCCARQCAQEwDQYJKoZIhvcNAQENBQAwgYAxGTAXBgNVBAUTEENQSi0yLTEwMC0wOTgzMTExCzAJBgNVBAYTAkNSMQ8wDQYDVQQKEwZNSUNJVFQxDTALBgNVBAsTBERDRkQxNjA0BgNVBAMTLUNBIFBPTElUSUNBIFNFTExBRE8gREUgVElFTVBPIC0gQ09TVEEgUklDQSB2MhcNMjIwNTIwMTkwNjUyWhcNMjIwNzIxMDcyNjUyWqBfMF0wHwYDVR0jBBgwFoAUsLvgCC5LE2jw0IBEA2ekP/8lY/YwEAYJKwYBBAGCNxUBBAMCAQAwCgYDVR0UBAMCASowHAYJKwYBBAGCNxUEBA8XDTIyMDcyMDE5MTY1MlowDQYJKoZIhvcNAQENBQADggIBAEhZNiR8iArQKFnDL2zGQaDUYGizaQvhdrRxOVS3VH72dHZzq8RtJr/i9PphaRS5wFPIW3OYiU04FD65bsYBFSgdYHYEilPWLaLpomdtI/FAnJtHQvlDejAK2FmpW9pTkhgpyjS/xb9ZlMyMOvi2xC26QQ1DVcnXNmbceboOW2tjha0FYK5o5f+GUjqY0gLKeKAW8xu5sGS0MaQZUutaXvYhbE7qJHURplBuOBLmqiHlIrZpINVymmOAjjKGmiZhe0YhbQFocZi0eKIeOVFCfL8VJhTH4VDMQrH+GdL4RAIKtCCXo5fMtdkoP+17xTMByPCr+AhXdSwmH+34aSYvzSw2QDiyFA/x9QRp5JZFvMG5ptjTfaNLkgYDNA0HIZtfootTjva5C14crHZ8kwJCsfLy5JbRg6FhVC7+2LrfJTZ68jk7i5ci4aTbiNM2C0dyVj7Y/X7aGa1Kmqxx1xK8X1Ar/nUrln3qVQCcXMlMlk+HSv2jT3hOgVPaDPZFeiiVoAnfWwWp+mo40XrL2RyLev7LCzSBQ0Zqj5ahamWUP9VEtmsBlS9SoL+COXKNZmLe3q70ioMhRuj++Ug3wQB4gLRLmFzFSeKBxHv6YpDyKnQbRb6oaaq3RXLBySqiAk5xP4eSsnCI8ug2LpKUcRNBVbRyQ5k1sb3DqrKsw6mIn6xc</xd:EncapsulatedCRLValue>
                <xd:EncapsulatedCRLValue>MIIDHjCCAQYCAQEwDQYJKoZIhvcNAQENBQAwczEZMBcGA1UEBRMQQ1BKLTItMTAwLTA5ODMxMTENMAsGA1UECxMERENGRDEPMA0GA1UEChMGTUlDSVRUMQswCQYDVQQGEwJDUjEpMCcGA1UEAxMgQ0EgUkFJWiBOQUNJT05BTCAtIENPU1RBIFJJQ0EgdjIXDTIyMDUyMDE4MzgyOFoXDTIyMDkyMTA2NTgyOFqgXzBdMB8GA1UdIwQYMBaAFODy/n3ERE5Q5DX9CImPToQZRDNAMBAGCSsGAQQBgjcVAQQDAgEAMAoGA1UdFAQDAgEXMBwGCSsGAQQBgjcVBAQPFw0yMjA5MjAxODQ4MjhaMA0GCSqGSIb3DQEBDQUAA4ICAQBKVIRljXZ51xx5OYygzv5RLAOQ62ia6J0VimZD/7Bs7AxZ7Wh0Qq4eDRQpjOCOhiuWVDrlDr5t7Z6ihDbHJKK9gTgFxhshsK+z1PjQbiTeoXO2TZdztU0O4YpO2Xnp3OMwq3Qthat23tgIOCMuauEnfFvZf5CNxCN8sGfHqkuJHsq6/iM5GqZzRS1ghsH7KeCrNebz63dozrmhwnCIAVj2HCrY5sRj7KJQ/uQ4OD7HAC1xwWj8AWaYNIYhZlgJ5kfmzk/oqEG0t1s/u/W9T7YdWvd/ZhdArIFhfrG+jKWKc2N3zdRo8WOTULZgJCgK7JjL62TNQV1HWFeCfCT2ZL4P5/hiCaFkbAI1r1Q1aTxqzuQ2c9exYt2iAMLAktZAtIWiQN7rvcJCxoI3zZiP3IFGuxp5rCoQD7QR5GStWR6TQ3v54Gd2xiAqNbzTuT4rLKQLW3rtZuRKv0EtHDlYycjgLB+ourcgazF7YKr6x8Sw3fbxy7Du12HoaC/okCwjfMFbSZUHKrDQ32bflEAGzuzPbSIr9RypbrCKfvcNOiRN1Gh+E0YeFNswW12MTDWCcw4WLk8UdW/4DV0Bdyoc7IzNALb5CED33iQYwVnoDoavUe8alWmGMb8Uw+20Oq5MPd7MQAWdeE9gm/c72P6ujOEXxYKw6de4c7vPU3c7EIiX0w==</xd:EncapsulatedCRLValue>
              </xd:CRLValues>
            </xd:RevocationValues>
          </TimeStampValidationData>
          <xd:CompleteCertificateRefs>
            <xd:CertRefs>
              <xd:Cert>
                <xd:CertDigest>
                  <DigestMethod Algorithm="http://www.w3.org/2001/04/xmlenc#sha256"/>
                  <DigestValue>WOB/2K5+bJEAragXITImcX8hI8jSPQeKC9dYvr/WcaU=</DigestValue>
                </xd:CertDigest>
                <xd:IssuerSerial>
                  <X509IssuerName>CN=CA POLITICA PERSONA FISICA - COSTA RICA v2, OU=DCFD, O=MICITT, C=CR, SERIALNUMBER=CPJ-2-100-098311</X509IssuerName>
                  <X509SerialNumber>1672555889920220192711854395991189670244384773</X509SerialNumber>
                </xd:IssuerSerial>
              </xd:Cert>
              <xd:Cert>
                <xd:CertDigest>
                  <DigestMethod Algorithm="http://www.w3.org/2001/04/xmlenc#sha256"/>
                  <DigestValue>MsKOaEooPfFdp2G4uOeantctgd21V4JKgjo/Bpp+d90=</DigestValue>
                </xd:CertDigest>
                <xd:IssuerSerial>
                  <X509IssuerName>CN=CA RAIZ NACIONAL - COSTA RICA v2, C=CR, O=MICITT, OU=DCFD, SERIALNUMBER=CPJ-2-100-098311</X509IssuerName>
                  <X509SerialNumber>1739458125498116918358806673373806027304075266</X509SerialNumber>
                </xd:IssuerSerial>
              </xd:Cert>
              <xd:Cert>
                <xd:CertDigest>
                  <DigestMethod Algorithm="http://www.w3.org/2001/04/xmlenc#sha256"/>
                  <DigestValue>/Z6nMJSOwlh1/TxKd4gV9X8iYfc5vomN1yD6LgfvfEI=</DigestValue>
                </xd:CertDigest>
                <xd:IssuerSerial>
                  <X509IssuerName>CN=CA RAIZ NACIONAL - COSTA RICA v2, C=CR, O=MICITT, OU=DCFD, SERIALNUMBER=CPJ-2-100-098311</X509IssuerName>
                  <X509SerialNumber>155150036479860318890910376525337462028</X509SerialNumber>
                </xd:IssuerSerial>
              </xd:Cert>
            </xd:CertRefs>
          </xd:CompleteCertificateRefs>
          <xd:CompleteRevocationRefs>
            <xd:OCSPRefs>
              <xd:OCSPRef>
                <xd:OCSPIdentifier>
                  <xd:ResponderID>
                    <xd:ByKey>3Tn7/w+FAdqPzxTgnCv85EpDZr8=</xd:ByKey>
                  </xd:ResponderID>
                  <xd:ProducedAt>2022-06-02T22:00:56Z</xd:ProducedAt>
                </xd:OCSPIdentifier>
                <xd:DigestAlgAndValue>
                  <DigestMethod Algorithm="http://www.w3.org/2001/04/xmlenc#sha256"/>
                  <DigestValue>LNP3+Yw+Tu++WY/BSo+KilYB3rfacO+GRylCUxO3G4g=</DigestValue>
                </xd:DigestAlgAndValue>
              </xd:OCSPRef>
            </xd:OCSPRefs>
            <xd:CRLRefs>
              <xd:CRLRef>
                <xd:DigestAlgAndValue>
                  <DigestMethod Algorithm="http://www.w3.org/2001/04/xmlenc#sha256"/>
                  <DigestValue>0m0DzBlt4DLY4ASKYDfu3mUjSJ09XGZwy/YBGmhNOWA=</DigestValue>
                </xd:DigestAlgAndValue>
                <xd:CRLIdentifier>
                  <xd:Issuer>CN=CA POLITICA PERSONA FISICA - COSTA RICA v2, OU=DCFD, O=MICITT, C=CR, SERIALNUMBER=CPJ-2-100-098311</xd:Issuer>
                  <xd:IssueTime>2022-05-20T19:02:09Z</xd:IssueTime>
                </xd:CRLIdentifier>
              </xd:CRLRef>
              <xd:CRLRef>
                <xd:DigestAlgAndValue>
                  <DigestMethod Algorithm="http://www.w3.org/2001/04/xmlenc#sha256"/>
                  <DigestValue>0jtnBl3MdLExGYPs5WH4+7ZybYeg+JOQiJAKqzQ8D7o=</DigestValue>
                </xd:DigestAlgAndValue>
                <xd:CRLIdentifier>
                  <xd:Issuer>CN=CA RAIZ NACIONAL - COSTA RICA v2, C=CR, O=MICITT, OU=DCFD, SERIALNUMBER=CPJ-2-100-098311</xd:Issuer>
                  <xd:IssueTime>2022-05-20T18:38:28Z</xd:IssueTime>
                </xd:CRLIdentifier>
              </xd:CRLRef>
            </xd:CRLRefs>
          </xd:CompleteRevocationRefs>
          <xd:RevocationValues>
            <xd:OCSPValues>
              <xd:EncapsulatedOCSPValue>MIIGQQoBAKCCBjowggY2BgkrBgEFBQcwAQEEggYnMIIGIzCBxaIWBBTdOfv/D4UB2o/PFOCcK/zkSkNmvxgPMjAyMjA2MDIyMjAwNTZaMIGZMIGWMEwwCQYFKw4DAhoFAAQUzgxHzN03kqP+e9oD7BphnZQwSGIEFF8FGEEQ3hUvOunAFqPnoWpS0TrsAhMUAAz2dTs3FHyfYkYdAAEADPZ1gAAYDzIwMjIwNjAyMjEzOTMzWqARGA8yMDIyMDYwNDA5NTkzM1qhIDAeMBwGCSsGAQQBgjcVBAQPFw0yMjA2MDMyMTQ5MzNaMA0GCSqGSIb3DQEBCwUAA4IBAQB/G+59zw7wYAxMU6rau/12kiVETNUUFjY2aKmJNrnnoLxKPHBO2zRTVKvW3fT1tJuasjKen7NrGCNre2n7D8Gk9kkvwsDn7niX/Ak2TrVI6tWyYHfKhgwYPY+cGCfmCrvl5wlk4zgivb4kWB3AcT5aKMa5kcqOuunCaCUSroMzPH/tWPQKMiGb42oA3SgWvwnbtPA5ukA61izJ27QFHXcbzc7FXwJRwffXo/0KPECfQ267m0gNGACw5cwEaCLjEDVHttBvwV8cmxJmltqAkfeGYmplit+ld1U06OefMMx5LeOfskfKUr0e8SRmBYEZ5nneTnhwm5CoTjKN/zLyh8xhoIIEQzCCBD8wggQ7MIIDI6ADAgECAhMUAA3bYvEzY8GE3Y6PAAEADdtiMA0GCSqGSIb3DQEBCwUAMIGZMRkwFwYDVQQFExBDUEotNC0wMDAtMDA0MDE3MQswCQYDVQQGEwJDUjEkMCIGA1UEChMbQkFOQ08gQ0VOVFJBTCBERSBDT1NUQSBSSUNBMSIwIAYDVQQLExlESVZJU0lPTiBTSVNURU1BUyBERSBQQUdPMSUwIwYDVQQDExxDQSBTSU5QRSAtIFBFUlNPTkEgRklTSUNBIHYyMB4XDTIyMDUzMDE4MTAzOFoXDTIyMDYxMzE4MTAzOFowHjEcMBoGA1UEAxMTU0ktQVBPQ1MtMTAxLmZkaS5jcjCCASIwDQYJKoZIhvcNAQEBBQADggEPADCCAQoCggEBALEsQlgmsNfmJXJV4gszAxKt/qAM0d9tr4mB5JYpTLJ8Zm5nQAe4Q0aIfYyET4Hla09awn4+e4pyTkGl6ynpRJSBioz8tvk4N9gyOHnzg37vbSZzQ7WzxvfekbkPJKd3SttgfbPL3ng2vr4Y0FI57LrfH7uCqgoVFWdsOBP7CI0JzWlx1Q6RlMZeW8wVXZWcKVOq4meNRIwr0ItNF2pZE+4sRrNUb9QmZb7nwOARYv7KQvg/LcfWpY5QCz/7upZp2sD45gbdoTcRThEO8khEeEKhPnch4J012M2VYiO/cuwDbZibjy5yoDGzEXZo/gG01kVrCIgjsl3Z6n/wJU5mGu8CAwEAAaOB9TCB8jA9BgkrBgEEAYI3FQcEMDAuBiYrBgEEAYI3FQiFxOpbgtHjNZWRG4L5lxiGpctrgX+D9vx3gbjxMwIBZAIBBzATBgNVHSUEDDAKBggrBgEFBQcDCTAOBgNVHQ8BAf8EBAMCB4AwGwYJKwYBBAGCNxUKBA4wDDAKBggrBgEFBQcDCTAPBgkrBgEFBQcwAQUEAgUAMB8GA1UdIwQYMBaAFF8FGEEQ3hUvOunAFqPnoWpS0TrsMB0GA1UdDgQWBBTdOfv/D4UB2o/PFOCcK/zkSkNmvzAeBgNVHREEFzAVghNTSS1BUE9DUy0xMDEuZmRpLmNyMA0GCSqGSIb3DQEBCwUAA4IBAQBeTap99O7DGWkR/o7t8yMh/LjQw+quGdxTcuVgwLLy8YJuHYhnj3zHKOMMiv3UzCDOgZfhQtMK2o0ImEmhzy2YMHfT3wekyrG5L2gmTkl+Ym+gPs8uNZ3BdaPKWSxaYoCkGW+cWWdH5wfgkGExGydsJtFxdiZn54ZFhNl0vayeKM6QXuRhxnZoqaS95GTjfYtV1e5ESVg+RYd0+gS2Zv2jvw/e4q2C/lCqb56WRnNvflwSjPSGw/4a5SNwRzbH5fGiUn90Nyv9WeeyGq5Hesqzt4Zm4L1fVMCmqnIe0ANV4WRSy+1aKPHNg2mJgDrqX3iMiZBkij1nyYtmzSrRTdgw</xd:EncapsulatedOCSPValue>
            </xd:OCSPValues>
            <xd:CRLValues>
              <xd:EncapsulatedCRLValue>MIIDKDCCARACAQEwDQYJKoZIhvcNAQENBQAwfTEZMBcGA1UEBRMQQ1BKLTItMTAwLTA5ODMxMTELMAkGA1UEBhMCQ1IxDzANBgNVBAoTBk1JQ0lUVDENMAsGA1UECxMERENGRDEzMDEGA1UEAxMqQ0EgUE9MSVRJQ0EgUEVSU09OQSBGSVNJQ0EgLSBDT1NUQSBSSUNBIHYyFw0yMjA1MjAxOTAyMDlaFw0yMjA3MjEwNzIyMDlaoF8wXTAfBgNVHSMEGDAWgBRonWk2y4Rue+qTYRn/WDAd1f9cyzAQBgkrBgEEAYI3FQEEAwIBADAKBgNVHRQEAwIBKzAcBgkrBgEEAYI3FQQEDxcNMjIwNzIwMTkxMjA5WjANBgkqhkiG9w0BAQ0FAAOCAgEAIY/f2mHsohKn9Y34Ayf4JPtA7yWyICJyamrJwzQycLP40t+Zn37sKsIOOky/vVD9/Kxz8DdTp3HiusqngiRMy4OScU7R0ShmZYnsJabnoKb20Uf+uLARn3NV08Y1yy2vSZ6sjeOLdHzv8vXjHHTMuHcBgNxgsyhahr2pispIqI8LYYofZoFqWrWhPB308wqIIIgqD2mxSDXagq03mECuTQShzT//8EIQ+gghaP3F/pUCS1vXFn5dWdIcmyCNyRkgJRH69/ltRx7JtgpUu++W9yHf95gGGi3zIZMvlSPT68HHajcb/IxWLmy5Va26bi91tuCTqmLB/V01WEYIVlI/anJjhfJlMGJMdAegZRJC8ofO7JZgNgllWyXYx/CfpRwuKi9wftTUKPLA1d6Hp7P8f/27PDfNtAnZev4dvvLUHqLmsnicP80lJHVlLjId2Q8neBb0q843QzJIJNIsa+LGwKGNhBJ4y7OcnC/rWijy4OELQoloOLz2X3MIGfiA9AM+m8BY8qvkUAwUpw3bbzB7jALWMcIloYD//2WD0wiuvMozUIBjuK7GFyMQlF/zlejIUtuPfbK+JdR2LkXhtZHhi3ZYZxxyq8K15snAzWu+oztneDoMH651QTnVug/aSySlPJRPFI+EBclA4scv7tXibsiCsZhvlzawYFUhI+o/m1w=</xd:EncapsulatedCRLValue>
              <xd:EncapsulatedCRLValue>MIIDHjCCAQYCAQEwDQYJKoZIhvcNAQENBQAwczEZMBcGA1UEBRMQQ1BKLTItMTAwLTA5ODMxMTENMAsGA1UECxMERENGRDEPMA0GA1UEChMGTUlDSVRUMQswCQYDVQQGEwJDUjEpMCcGA1UEAxMgQ0EgUkFJWiBOQUNJT05BTCAtIENPU1RBIFJJQ0EgdjIXDTIyMDUyMDE4MzgyOFoXDTIyMDkyMTA2NTgyOFqgXzBdMB8GA1UdIwQYMBaAFODy/n3ERE5Q5DX9CImPToQZRDNAMBAGCSsGAQQBgjcVAQQDAgEAMAoGA1UdFAQDAgEXMBwGCSsGAQQBgjcVBAQPFw0yMjA5MjAxODQ4MjhaMA0GCSqGSIb3DQEBDQUAA4ICAQBKVIRljXZ51xx5OYygzv5RLAOQ62ia6J0VimZD/7Bs7AxZ7Wh0Qq4eDRQpjOCOhiuWVDrlDr5t7Z6ihDbHJKK9gTgFxhshsK+z1PjQbiTeoXO2TZdztU0O4YpO2Xnp3OMwq3Qthat23tgIOCMuauEnfFvZf5CNxCN8sGfHqkuJHsq6/iM5GqZzRS1ghsH7KeCrNebz63dozrmhwnCIAVj2HCrY5sRj7KJQ/uQ4OD7HAC1xwWj8AWaYNIYhZlgJ5kfmzk/oqEG0t1s/u/W9T7YdWvd/ZhdArIFhfrG+jKWKc2N3zdRo8WOTULZgJCgK7JjL62TNQV1HWFeCfCT2ZL4P5/hiCaFkbAI1r1Q1aTxqzuQ2c9exYt2iAMLAktZAtIWiQN7rvcJCxoI3zZiP3IFGuxp5rCoQD7QR5GStWR6TQ3v54Gd2xiAqNbzTuT4rLKQLW3rtZuRKv0EtHDlYycjgLB+ourcgazF7YKr6x8Sw3fbxy7Du12HoaC/okCwjfMFbSZUHKrDQ32bflEAGzuzPbSIr9RypbrCKfvcNOiRN1Gh+E0YeFNswW12MTDWCcw4WLk8UdW/4DV0Bdyoc7IzNALb5CED33iQYwVnoDoavUe8alWmGMb8Uw+20Oq5MPd7MQAWdeE9gm/c72P6ujOEXxYKw6de4c7vPU3c7EIiX0w==</xd:EncapsulatedCRLValue>
            </xd:CRLValues>
          </xd:RevocationValues>
          <xd:SigAndRefsTimeStamp>
            <CanonicalizationMethod Algorithm="http://www.w3.org/TR/2001/REC-xml-c14n-20010315"/>
            <xd:EncapsulatedTimeStamp>MIIK0gYJKoZIhvcNAQcCoIIKwzCCCr8CAQMxDzANBglghkgBZQMEAgEFADBzBgsqhkiG9w0BCRABBKBkBGIwYAIBAQYIYIE8AQEBAQUwMTANBglghkgBZQMEAgEFAAQg1CF3WXBlkrspaPhloSrr7CMrPnF0XfnUoER3lRZegVoCBA9parAYDzIwMjIwNjAyMjIwODA4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yMDYwMjIyMDgwOFowLwYJKoZIhvcNAQkEMSIEIP3m1pMCs7MAYDaRS6kbzLXxpPHqeJoyYDvjm6WxKH+GMDcGCyqGSIb3DQEJEAIvMSgwJjAkMCIEIDcrk3iY5iZu+N7/iFpVKDYeTZ9u7elabVQcL5d9tumpMA0GCSqGSIb3DQEBAQUABIIBAMHRsmZJB26R+tZZY05OJZTnSapdQFkfmi9+NAkludtHrfEZ0VxwVTj+vxtHx9Ps/fdLVCDWuLgCsknARlHFm+bktniQHI5fcCrucCL6la8iZY1RjzSaDQD5zWKFE1ELFwNbv4jr11BrIYXJX3bPS8jWTgMPRoGyljyI5uOL7Ie8JTpBvHDKyzUqHr+JHyMKAXuioWUfDpGhs9MjbygLwiCQKuKEYNGfkRd75vABRUd7z5kEylxWk1YkXDOsRZBWbAcHvPeDcxWUWS5wUSd9jdwtSF+mdBl9sOKpKW7adf5uS2X7mwV40mBDKpuHlMfNUDL42C1L94rDKkuSn3NSJRE=</xd:EncapsulatedTimeStamp>
          </xd:SigAndRefsTimeStamp>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Comunicación Acuerdo BCCR" ma:contentTypeID="0x0101008A2E0295431CB54A933AC477DC2BC7AF00A2A5AC1694757C44B8474694E4442E22" ma:contentTypeVersion="17" ma:contentTypeDescription="Plantilla para comunicar los acuerdos tomados por la JD del BCCR" ma:contentTypeScope="" ma:versionID="885a8b8d240f6e105cf47e6861b519c6">
  <xsd:schema xmlns:xsd="http://www.w3.org/2001/XMLSchema" xmlns:xs="http://www.w3.org/2001/XMLSchema" xmlns:p="http://schemas.microsoft.com/office/2006/metadata/properties" xmlns:ns2="96c239bb-9668-4681-985a-a7d7030fe907" targetNamespace="http://schemas.microsoft.com/office/2006/metadata/properties" ma:root="true" ma:fieldsID="170689c88b62273dd319406497123152" ns2:_="">
    <xsd:import namespace="96c239bb-9668-4681-985a-a7d7030fe907"/>
    <xsd:element name="properties">
      <xsd:complexType>
        <xsd:sequence>
          <xsd:element name="documentManagement">
            <xsd:complexType>
              <xsd:all>
                <xsd:element ref="ns2:A_x00f1_o" minOccurs="0"/>
                <xsd:element ref="ns2:Estado" minOccurs="0"/>
                <xsd:element ref="ns2:Instituci_x00f3_n" minOccurs="0"/>
                <xsd:element ref="ns2:Mes" minOccurs="0"/>
                <xsd:element ref="ns2:Sesi_x00f3_n" minOccurs="0"/>
                <xsd:element ref="ns2:_x002d_"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c239bb-9668-4681-985a-a7d7030fe907" elementFormDefault="qualified">
    <xsd:import namespace="http://schemas.microsoft.com/office/2006/documentManagement/types"/>
    <xsd:import namespace="http://schemas.microsoft.com/office/infopath/2007/PartnerControls"/>
    <xsd:element name="A_x00f1_o" ma:index="4" nillable="true" ma:displayName="Año" ma:default="2021" ma:format="Dropdown" ma:indexed="true" ma:internalName="A_x00f1_o" ma:readOnly="false">
      <xsd:simpleType>
        <xsd:restriction base="dms:Choice">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Estado" ma:index="5" nillable="true" ma:displayName="Estado" ma:default="En proceso" ma:format="Dropdown" ma:internalName="Estado" ma:readOnly="false">
      <xsd:simpleType>
        <xsd:restriction base="dms:Choice">
          <xsd:enumeration value="En proceso"/>
          <xsd:enumeration value="Aprobado"/>
          <xsd:enumeration value="Comunicado"/>
        </xsd:restriction>
      </xsd:simpleType>
    </xsd:element>
    <xsd:element name="Instituci_x00f3_n" ma:index="6" nillable="true" ma:displayName="Origen" ma:format="Dropdown" ma:indexed="true" ma:internalName="Instituci_x00f3_n" ma:readOnly="false">
      <xsd:simpleType>
        <xsd:restriction base="dms:Choice">
          <xsd:enumeration value="BCCR"/>
          <xsd:enumeration value="Conassif"/>
          <xsd:enumeration value="Comité de Auditoría"/>
          <xsd:enumeration value="Presidencia / Gerencia"/>
          <xsd:enumeration value="Rpost"/>
          <xsd:enumeration value="CONIP"/>
          <xsd:enumeration value="Comité de Riesgos"/>
          <xsd:enumeration value="Comisión Estabilidad Financiera"/>
          <xsd:enumeration value="Seguimiento"/>
        </xsd:restriction>
      </xsd:simpleType>
    </xsd:element>
    <xsd:element name="Mes" ma:index="7" nillable="true" ma:displayName="Mes" ma:format="Dropdown" ma:internalName="Mes" ma:readOnly="false">
      <xsd:simpleType>
        <xsd:restriction base="dms:Choice">
          <xsd:enumeration value="01-Enero"/>
          <xsd:enumeration value="02-Febrero"/>
          <xsd:enumeration value="03-Marzo"/>
          <xsd:enumeration value="04-Abril"/>
          <xsd:enumeration value="05-Mayo"/>
          <xsd:enumeration value="06-Junio"/>
          <xsd:enumeration value="07-Julio"/>
          <xsd:enumeration value="08-Agosto"/>
          <xsd:enumeration value="09-Setiembre"/>
          <xsd:enumeration value="10-Octubre"/>
          <xsd:enumeration value="11-Noviembre"/>
          <xsd:enumeration value="12-Diciembre"/>
        </xsd:restriction>
      </xsd:simpleType>
    </xsd:element>
    <xsd:element name="Sesi_x00f3_n" ma:index="8" nillable="true" ma:displayName="Sesión" ma:indexed="true" ma:internalName="Sesi_x00f3_n" ma:readOnly="false">
      <xsd:simpleType>
        <xsd:restriction base="dms:Text">
          <xsd:maxLength value="255"/>
        </xsd:restriction>
      </xsd:simpleType>
    </xsd:element>
    <xsd:element name="_x002d_" ma:index="9" nillable="true" ma:displayName="-" ma:internalName="_x002d_" ma:readOnly="false">
      <xsd:simpleType>
        <xsd:restriction base="dms:Text">
          <xsd:maxLength value="255"/>
        </xsd:restrictio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Tipo de contenido"/>
        <xsd:element ref="dc:title" minOccurs="0" maxOccurs="1" ma:index="2"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Estado xmlns="96c239bb-9668-4681-985a-a7d7030fe907">En proceso</Estado>
    <Instituci_x00f3_n xmlns="96c239bb-9668-4681-985a-a7d7030fe907">Conassif</Instituci_x00f3_n>
    <Mes xmlns="96c239bb-9668-4681-985a-a7d7030fe907">05-Mayo</Mes>
    <_x002d_ xmlns="96c239bb-9668-4681-985a-a7d7030fe907" xsi:nil="true"/>
    <A_x00f1_o xmlns="96c239bb-9668-4681-985a-a7d7030fe907">2022</A_x00f1_o>
    <Sesi_x00f3_n xmlns="96c239bb-9668-4681-985a-a7d7030fe907">1734</Sesi_x00f3_n>
  </documentManagement>
</p:properti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BD7C4054-0DDB-4F9F-A3F9-BC88955FE91A}">
  <ds:schemaRefs>
    <ds:schemaRef ds:uri="http://schemas.microsoft.com/sharepoint/v3/contenttype/forms"/>
  </ds:schemaRefs>
</ds:datastoreItem>
</file>

<file path=customXml/itemProps2.xml><?xml version="1.0" encoding="utf-8"?>
<ds:datastoreItem xmlns:ds="http://schemas.openxmlformats.org/officeDocument/2006/customXml" ds:itemID="{68B3729C-DE2C-448D-8D1C-ED36F353182E}">
  <ds:schemaRefs>
    <ds:schemaRef ds:uri="http://schemas.openxmlformats.org/officeDocument/2006/bibliography"/>
  </ds:schemaRefs>
</ds:datastoreItem>
</file>

<file path=customXml/itemProps3.xml><?xml version="1.0" encoding="utf-8"?>
<ds:datastoreItem xmlns:ds="http://schemas.openxmlformats.org/officeDocument/2006/customXml" ds:itemID="{E4F448EA-D3AD-4654-8266-B0BF10101B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c239bb-9668-4681-985a-a7d7030fe9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92720FC-19F1-4C87-8FA7-A58EA9B70403}">
  <ds:schemaRefs>
    <ds:schemaRef ds:uri="http://purl.org/dc/elements/1.1/"/>
    <ds:schemaRef ds:uri="http://schemas.openxmlformats.org/package/2006/metadata/core-properties"/>
    <ds:schemaRef ds:uri="http://schemas.microsoft.com/office/infopath/2007/PartnerControls"/>
    <ds:schemaRef ds:uri="http://schemas.microsoft.com/office/2006/metadata/properties"/>
    <ds:schemaRef ds:uri="96c239bb-9668-4681-985a-a7d7030fe907"/>
    <ds:schemaRef ds:uri="http://purl.org/dc/terms/"/>
    <ds:schemaRef ds:uri="http://schemas.microsoft.com/office/2006/documentManagement/types"/>
    <ds:schemaRef ds:uri="http://purl.org/dc/dcmitype/"/>
    <ds:schemaRef ds:uri="http://www.w3.org/XML/1998/namespace"/>
  </ds:schemaRefs>
</ds:datastoreItem>
</file>

<file path=customXml/itemProps5.xml><?xml version="1.0" encoding="utf-8"?>
<ds:datastoreItem xmlns:ds="http://schemas.openxmlformats.org/officeDocument/2006/customXml" ds:itemID="{33C0DA35-AAC8-4A5C-8533-6ED9D1E0AFD1}">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4552</Words>
  <Characters>25041</Characters>
  <Application>Microsoft Office Word</Application>
  <DocSecurity>0</DocSecurity>
  <Lines>208</Lines>
  <Paragraphs>59</Paragraphs>
  <ScaleCrop>false</ScaleCrop>
  <HeadingPairs>
    <vt:vector size="2" baseType="variant">
      <vt:variant>
        <vt:lpstr>Título</vt:lpstr>
      </vt:variant>
      <vt:variant>
        <vt:i4>1</vt:i4>
      </vt:variant>
    </vt:vector>
  </HeadingPairs>
  <TitlesOfParts>
    <vt:vector size="1" baseType="lpstr">
      <vt:lpstr/>
    </vt:vector>
  </TitlesOfParts>
  <Company>BCCR</Company>
  <LinksUpToDate>false</LinksUpToDate>
  <CharactersWithSpaces>29534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HERNANDEZ MORA DAYANA</dc:creator>
  <cp:keywords/>
  <cp:lastModifiedBy>HERNANDEZ MORA DAYANA</cp:lastModifiedBy>
  <cp:revision>3</cp:revision>
  <cp:lastPrinted>2013-01-30T22:12:00Z</cp:lastPrinted>
  <dcterms:created xsi:type="dcterms:W3CDTF">2022-06-02T21:26:00Z</dcterms:created>
  <dcterms:modified xsi:type="dcterms:W3CDTF">2022-06-02T21:37:00Z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stado">
    <vt:lpwstr>En proceso</vt:lpwstr>
  </property>
  <property fmtid="{D5CDD505-2E9C-101B-9397-08002B2CF9AE}" pid="3" name="Institución">
    <vt:lpwstr/>
  </property>
  <property fmtid="{D5CDD505-2E9C-101B-9397-08002B2CF9AE}" pid="4" name="Sesión">
    <vt:lpwstr/>
  </property>
  <property fmtid="{D5CDD505-2E9C-101B-9397-08002B2CF9AE}" pid="5" name="Año">
    <vt:lpwstr/>
  </property>
  <property fmtid="{D5CDD505-2E9C-101B-9397-08002B2CF9AE}" pid="6" name="Mes">
    <vt:lpwstr/>
  </property>
  <property fmtid="{D5CDD505-2E9C-101B-9397-08002B2CF9AE}" pid="7" name="-">
    <vt:lpwstr/>
  </property>
  <property fmtid="{D5CDD505-2E9C-101B-9397-08002B2CF9AE}" pid="8" name="ContentTypeId">
    <vt:lpwstr>0x0101008A2E0295431CB54A933AC477DC2BC7AF00A2A5AC1694757C44B8474694E4442E22</vt:lpwstr>
  </property>
</Properties>
</file>