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22D7B" w:rsidR="00776B79" w:rsidP="006972C9" w:rsidRDefault="00776B79" w14:paraId="5D4EF48D" w14:textId="77777777">
      <w:pPr>
        <w:pStyle w:val="Texto"/>
        <w:spacing w:before="0" w:after="0" w:line="240" w:lineRule="auto"/>
        <w:rPr>
          <w:sz w:val="24"/>
        </w:rPr>
      </w:pPr>
    </w:p>
    <w:p w:rsidRPr="00022D7B" w:rsidR="00776B79" w:rsidP="006972C9" w:rsidRDefault="00776B79" w14:paraId="3908BCA9" w14:textId="77777777">
      <w:pPr>
        <w:pStyle w:val="Texto"/>
        <w:spacing w:before="0" w:after="0" w:line="240" w:lineRule="auto"/>
        <w:rPr>
          <w:sz w:val="24"/>
        </w:rPr>
      </w:pPr>
    </w:p>
    <w:p w:rsidRPr="00DE6751" w:rsidR="00456ECA" w:rsidP="00456ECA" w:rsidRDefault="00456ECA" w14:paraId="77318057" w14:textId="77777777">
      <w:pPr>
        <w:pStyle w:val="Texto"/>
        <w:spacing w:before="0" w:after="0" w:line="240" w:lineRule="auto"/>
        <w:jc w:val="center"/>
        <w:rPr>
          <w:rFonts w:asciiTheme="majorHAnsi" w:hAnsiTheme="majorHAnsi"/>
          <w:b/>
          <w:sz w:val="24"/>
        </w:rPr>
      </w:pPr>
      <w:r>
        <w:rPr>
          <w:rFonts w:asciiTheme="majorHAnsi" w:hAnsiTheme="majorHAnsi"/>
          <w:b/>
          <w:sz w:val="24"/>
        </w:rPr>
        <w:t>Resolución</w:t>
      </w:r>
    </w:p>
    <w:p w:rsidRPr="00456ECA" w:rsidR="00456ECA" w:rsidP="00456ECA" w:rsidRDefault="00456ECA" w14:paraId="41158F94" w14:textId="77777777">
      <w:pPr>
        <w:pStyle w:val="Texto"/>
        <w:spacing w:before="0" w:after="0" w:line="240" w:lineRule="auto"/>
        <w:contextualSpacing/>
        <w:jc w:val="center"/>
        <w:rPr>
          <w:sz w:val="24"/>
        </w:rPr>
      </w:pPr>
      <w:r w:rsidRPr="00456ECA">
        <w:rPr>
          <w:sz w:val="24"/>
        </w:rPr>
        <w:t>26 de marzo 2020</w:t>
      </w:r>
    </w:p>
    <w:sdt>
      <w:sdtPr>
        <w:rPr>
          <w:sz w:val="24"/>
        </w:rPr>
        <w:alias w:val="Consecutivo"/>
        <w:tag w:val="Consecutivo"/>
        <w:id w:val="2052717023"/>
        <w:placeholder>
          <w:docPart w:val="0DE3DA67CD0C46BC92B843E07971C7CD"/>
        </w:placeholder>
        <w:text/>
      </w:sdtPr>
      <w:sdtContent>
        <w:p w:rsidRPr="00456ECA" w:rsidR="00456ECA" w:rsidP="00456ECA" w:rsidRDefault="00456ECA" w14:paraId="7331F1E9" w14:textId="77777777">
          <w:pPr>
            <w:tabs>
              <w:tab w:val="left" w:pos="2843"/>
            </w:tabs>
            <w:spacing w:line="240" w:lineRule="auto"/>
            <w:contextualSpacing/>
            <w:jc w:val="center"/>
            <w:rPr>
              <w:sz w:val="24"/>
            </w:rPr>
          </w:pPr>
          <w:r>
            <w:t>SGF-1044-2020</w:t>
          </w:r>
        </w:p>
      </w:sdtContent>
    </w:sdt>
    <w:p w:rsidRPr="00456ECA" w:rsidR="00456ECA" w:rsidP="00456ECA" w:rsidRDefault="00456ECA" w14:paraId="5E1A6CFB"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249DBBCB690C48B9AB251C4FA474923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Pr="00456ECA">
            <w:rPr>
              <w:sz w:val="24"/>
            </w:rPr>
            <w:t>SGF-PUBLICO</w:t>
          </w:r>
        </w:sdtContent>
      </w:sdt>
    </w:p>
    <w:p w:rsidRPr="00456ECA" w:rsidR="00456ECA" w:rsidP="00456ECA" w:rsidRDefault="00456ECA" w14:paraId="36D3C468" w14:textId="77777777">
      <w:pPr>
        <w:tabs>
          <w:tab w:val="left" w:pos="2843"/>
        </w:tabs>
        <w:spacing w:line="240" w:lineRule="auto"/>
        <w:contextualSpacing/>
        <w:rPr>
          <w:sz w:val="24"/>
        </w:rPr>
      </w:pPr>
      <w:r w:rsidRPr="00456ECA">
        <w:rPr>
          <w:sz w:val="24"/>
        </w:rPr>
        <w:tab/>
      </w:r>
    </w:p>
    <w:p w:rsidRPr="00456ECA" w:rsidR="00456ECA" w:rsidP="00456ECA" w:rsidRDefault="00456ECA" w14:paraId="7522A0D8" w14:textId="77777777">
      <w:pPr>
        <w:widowControl w:val="0"/>
        <w:spacing w:line="240" w:lineRule="auto"/>
        <w:ind w:left="34" w:right="86"/>
        <w:contextualSpacing/>
        <w:outlineLvl w:val="0"/>
        <w:rPr>
          <w:b/>
          <w:sz w:val="24"/>
          <w:lang w:val="es-CR"/>
        </w:rPr>
      </w:pPr>
    </w:p>
    <w:p w:rsidRPr="00456ECA" w:rsidR="00456ECA" w:rsidP="00456ECA" w:rsidRDefault="00456ECA" w14:paraId="4C818138" w14:textId="77777777">
      <w:pPr>
        <w:widowControl w:val="0"/>
        <w:spacing w:line="240" w:lineRule="auto"/>
        <w:ind w:left="34" w:right="86"/>
        <w:contextualSpacing/>
        <w:outlineLvl w:val="0"/>
        <w:rPr>
          <w:b/>
          <w:sz w:val="24"/>
          <w:lang w:val="es-CR"/>
        </w:rPr>
      </w:pPr>
      <w:r w:rsidRPr="00456ECA">
        <w:rPr>
          <w:b/>
          <w:sz w:val="24"/>
          <w:lang w:val="es-CR"/>
        </w:rPr>
        <w:t xml:space="preserve">Dirigida a: </w:t>
      </w:r>
    </w:p>
    <w:p w:rsidRPr="00456ECA" w:rsidR="00456ECA" w:rsidP="00456ECA" w:rsidRDefault="00456ECA" w14:paraId="1F4719D6" w14:textId="77777777">
      <w:pPr>
        <w:widowControl w:val="0"/>
        <w:spacing w:line="240" w:lineRule="auto"/>
        <w:ind w:left="34" w:right="86"/>
        <w:contextualSpacing/>
        <w:outlineLvl w:val="0"/>
        <w:rPr>
          <w:b/>
          <w:sz w:val="24"/>
          <w:lang w:val="es-CR"/>
        </w:rPr>
      </w:pPr>
    </w:p>
    <w:p w:rsidRPr="00456ECA" w:rsidR="00456ECA" w:rsidP="00456ECA" w:rsidRDefault="00456ECA" w14:paraId="05B6EE14" w14:textId="77777777">
      <w:pPr>
        <w:widowControl w:val="0"/>
        <w:numPr>
          <w:ilvl w:val="0"/>
          <w:numId w:val="5"/>
        </w:numPr>
        <w:spacing w:after="200" w:line="240" w:lineRule="auto"/>
        <w:ind w:left="567" w:right="86" w:hanging="567"/>
        <w:contextualSpacing/>
        <w:rPr>
          <w:b/>
          <w:sz w:val="24"/>
          <w:lang w:val="es-CR" w:eastAsia="es-ES"/>
        </w:rPr>
      </w:pPr>
      <w:r w:rsidRPr="00456ECA">
        <w:rPr>
          <w:b/>
          <w:sz w:val="24"/>
          <w:lang w:val="es-CR" w:eastAsia="es-ES"/>
        </w:rPr>
        <w:t>Bancos Comerciales del Estado</w:t>
      </w:r>
    </w:p>
    <w:p w:rsidRPr="00456ECA" w:rsidR="00456ECA" w:rsidP="00456ECA" w:rsidRDefault="00456ECA" w14:paraId="55D825BE" w14:textId="77777777">
      <w:pPr>
        <w:widowControl w:val="0"/>
        <w:numPr>
          <w:ilvl w:val="0"/>
          <w:numId w:val="5"/>
        </w:numPr>
        <w:spacing w:after="200" w:line="240" w:lineRule="auto"/>
        <w:ind w:left="567" w:right="86" w:hanging="567"/>
        <w:contextualSpacing/>
        <w:rPr>
          <w:b/>
          <w:sz w:val="24"/>
          <w:lang w:val="es-CR" w:eastAsia="es-ES"/>
        </w:rPr>
      </w:pPr>
      <w:r w:rsidRPr="00456ECA">
        <w:rPr>
          <w:b/>
          <w:sz w:val="24"/>
          <w:lang w:val="es-CR" w:eastAsia="es-ES"/>
        </w:rPr>
        <w:t>Bancos Creados por Leyes Especiales</w:t>
      </w:r>
    </w:p>
    <w:p w:rsidRPr="00456ECA" w:rsidR="00456ECA" w:rsidP="00456ECA" w:rsidRDefault="00456ECA" w14:paraId="602CD7DE" w14:textId="77777777">
      <w:pPr>
        <w:widowControl w:val="0"/>
        <w:numPr>
          <w:ilvl w:val="0"/>
          <w:numId w:val="5"/>
        </w:numPr>
        <w:spacing w:after="200" w:line="240" w:lineRule="auto"/>
        <w:ind w:left="567" w:right="86" w:hanging="567"/>
        <w:contextualSpacing/>
        <w:rPr>
          <w:b/>
          <w:sz w:val="24"/>
          <w:lang w:val="es-CR" w:eastAsia="es-ES"/>
        </w:rPr>
      </w:pPr>
      <w:r w:rsidRPr="00456ECA">
        <w:rPr>
          <w:b/>
          <w:sz w:val="24"/>
          <w:lang w:val="es-CR" w:eastAsia="es-ES"/>
        </w:rPr>
        <w:t>Bancos Privados</w:t>
      </w:r>
    </w:p>
    <w:p w:rsidRPr="00456ECA" w:rsidR="00456ECA" w:rsidP="00456ECA" w:rsidRDefault="00456ECA" w14:paraId="3362446E" w14:textId="77777777">
      <w:pPr>
        <w:widowControl w:val="0"/>
        <w:numPr>
          <w:ilvl w:val="0"/>
          <w:numId w:val="5"/>
        </w:numPr>
        <w:spacing w:after="200" w:line="240" w:lineRule="auto"/>
        <w:ind w:left="567" w:right="86" w:hanging="567"/>
        <w:contextualSpacing/>
        <w:rPr>
          <w:b/>
          <w:sz w:val="24"/>
          <w:lang w:val="es-CR" w:eastAsia="es-ES"/>
        </w:rPr>
      </w:pPr>
      <w:r w:rsidRPr="00456ECA">
        <w:rPr>
          <w:b/>
          <w:sz w:val="24"/>
          <w:lang w:val="es-CR" w:eastAsia="es-ES"/>
        </w:rPr>
        <w:t>Empresas Financieras no Bancarias</w:t>
      </w:r>
    </w:p>
    <w:p w:rsidRPr="00456ECA" w:rsidR="00456ECA" w:rsidP="00456ECA" w:rsidRDefault="00456ECA" w14:paraId="5BE7EF33" w14:textId="77777777">
      <w:pPr>
        <w:widowControl w:val="0"/>
        <w:numPr>
          <w:ilvl w:val="0"/>
          <w:numId w:val="5"/>
        </w:numPr>
        <w:spacing w:after="200" w:line="240" w:lineRule="auto"/>
        <w:ind w:left="567" w:right="86" w:hanging="567"/>
        <w:contextualSpacing/>
        <w:rPr>
          <w:b/>
          <w:sz w:val="24"/>
          <w:lang w:val="es-CR" w:eastAsia="es-ES"/>
        </w:rPr>
      </w:pPr>
      <w:r w:rsidRPr="00456ECA">
        <w:rPr>
          <w:b/>
          <w:sz w:val="24"/>
          <w:lang w:val="es-CR" w:eastAsia="es-ES"/>
        </w:rPr>
        <w:t>Organizaciones Cooperativas de Ahorro y Crédito</w:t>
      </w:r>
    </w:p>
    <w:p w:rsidRPr="00456ECA" w:rsidR="00456ECA" w:rsidP="00456ECA" w:rsidRDefault="00456ECA" w14:paraId="6BD05D0E" w14:textId="77777777">
      <w:pPr>
        <w:widowControl w:val="0"/>
        <w:numPr>
          <w:ilvl w:val="0"/>
          <w:numId w:val="5"/>
        </w:numPr>
        <w:spacing w:after="200" w:line="240" w:lineRule="auto"/>
        <w:ind w:left="567" w:right="86" w:hanging="567"/>
        <w:contextualSpacing/>
        <w:rPr>
          <w:b/>
          <w:sz w:val="24"/>
          <w:lang w:val="es-CR" w:eastAsia="es-ES"/>
        </w:rPr>
      </w:pPr>
      <w:r w:rsidRPr="00456ECA">
        <w:rPr>
          <w:b/>
          <w:sz w:val="24"/>
          <w:lang w:val="es-CR" w:eastAsia="es-ES"/>
        </w:rPr>
        <w:t>Entidades Autorizadas del Sistema Financiera Nacional para la Vivienda</w:t>
      </w:r>
    </w:p>
    <w:p w:rsidRPr="00456ECA" w:rsidR="00456ECA" w:rsidP="00456ECA" w:rsidRDefault="00456ECA" w14:paraId="338EC0A6" w14:textId="77777777">
      <w:pPr>
        <w:widowControl w:val="0"/>
        <w:numPr>
          <w:ilvl w:val="0"/>
          <w:numId w:val="5"/>
        </w:numPr>
        <w:spacing w:after="200" w:line="240" w:lineRule="auto"/>
        <w:ind w:left="567" w:right="86" w:hanging="567"/>
        <w:contextualSpacing/>
        <w:rPr>
          <w:b/>
          <w:sz w:val="24"/>
          <w:lang w:val="es-CR" w:eastAsia="es-ES"/>
        </w:rPr>
      </w:pPr>
      <w:r w:rsidRPr="00456ECA">
        <w:rPr>
          <w:b/>
          <w:sz w:val="24"/>
          <w:lang w:val="es-CR" w:eastAsia="es-ES"/>
        </w:rPr>
        <w:t>Otras Entidades Financieras</w:t>
      </w:r>
    </w:p>
    <w:p w:rsidRPr="00456ECA" w:rsidR="00456ECA" w:rsidP="00456ECA" w:rsidRDefault="00456ECA" w14:paraId="06815CC7" w14:textId="77777777">
      <w:pPr>
        <w:pStyle w:val="NormalWeb"/>
        <w:spacing w:before="0" w:beforeAutospacing="0" w:after="0" w:afterAutospacing="0"/>
        <w:contextualSpacing/>
        <w:jc w:val="both"/>
        <w:rPr>
          <w:rFonts w:ascii="Cambria" w:hAnsi="Cambria"/>
          <w:sz w:val="24"/>
          <w:szCs w:val="24"/>
        </w:rPr>
      </w:pPr>
      <w:r w:rsidRPr="00456ECA">
        <w:rPr>
          <w:rFonts w:ascii="Cambria" w:hAnsi="Cambria"/>
          <w:b/>
          <w:sz w:val="24"/>
          <w:szCs w:val="24"/>
        </w:rPr>
        <w:t>Asunto:</w:t>
      </w:r>
      <w:r w:rsidRPr="00456ECA">
        <w:rPr>
          <w:rFonts w:ascii="Cambria" w:hAnsi="Cambria"/>
          <w:sz w:val="24"/>
          <w:szCs w:val="24"/>
        </w:rPr>
        <w:t xml:space="preserve"> Ajuste en periodicidad de la Clase de Datos ICL, Capítulo ICL, del Manual de Información de SICVECA.</w:t>
      </w:r>
    </w:p>
    <w:p w:rsidRPr="00456ECA" w:rsidR="00456ECA" w:rsidP="00456ECA" w:rsidRDefault="00456ECA" w14:paraId="2BD0E1CF" w14:textId="77777777">
      <w:pPr>
        <w:pStyle w:val="NormalWeb"/>
        <w:spacing w:before="0" w:beforeAutospacing="0" w:after="0" w:afterAutospacing="0"/>
        <w:contextualSpacing/>
        <w:jc w:val="both"/>
        <w:rPr>
          <w:rFonts w:ascii="Cambria" w:hAnsi="Cambria"/>
          <w:sz w:val="24"/>
          <w:szCs w:val="24"/>
        </w:rPr>
      </w:pPr>
    </w:p>
    <w:p w:rsidRPr="00456ECA" w:rsidR="00456ECA" w:rsidP="00456ECA" w:rsidRDefault="00456ECA" w14:paraId="07739FCA" w14:textId="77777777">
      <w:pPr>
        <w:pStyle w:val="NormalWeb"/>
        <w:spacing w:before="0" w:beforeAutospacing="0" w:after="0" w:afterAutospacing="0"/>
        <w:contextualSpacing/>
        <w:jc w:val="both"/>
        <w:rPr>
          <w:rFonts w:ascii="Cambria" w:hAnsi="Cambria"/>
          <w:b/>
          <w:sz w:val="24"/>
          <w:szCs w:val="24"/>
        </w:rPr>
      </w:pPr>
      <w:r w:rsidRPr="00456ECA">
        <w:rPr>
          <w:rFonts w:ascii="Cambria" w:hAnsi="Cambria"/>
          <w:b/>
          <w:sz w:val="24"/>
          <w:szCs w:val="24"/>
        </w:rPr>
        <w:t>El Superintendente General de Entidades Financieras,</w:t>
      </w:r>
    </w:p>
    <w:p w:rsidRPr="00456ECA" w:rsidR="00456ECA" w:rsidP="00456ECA" w:rsidRDefault="00456ECA" w14:paraId="79C5B6D6" w14:textId="77777777">
      <w:pPr>
        <w:pStyle w:val="NormalWeb"/>
        <w:spacing w:before="0" w:beforeAutospacing="0" w:after="0" w:afterAutospacing="0"/>
        <w:contextualSpacing/>
        <w:jc w:val="both"/>
        <w:rPr>
          <w:rFonts w:ascii="Cambria" w:hAnsi="Cambria"/>
          <w:sz w:val="24"/>
          <w:szCs w:val="24"/>
        </w:rPr>
      </w:pPr>
    </w:p>
    <w:p w:rsidRPr="00456ECA" w:rsidR="00456ECA" w:rsidP="00456ECA" w:rsidRDefault="00456ECA" w14:paraId="31042143" w14:textId="77777777">
      <w:pPr>
        <w:spacing w:before="120" w:after="120" w:line="240" w:lineRule="auto"/>
        <w:ind w:left="33"/>
        <w:contextualSpacing/>
        <w:rPr>
          <w:sz w:val="24"/>
        </w:rPr>
      </w:pPr>
      <w:r w:rsidRPr="00456ECA">
        <w:rPr>
          <w:b/>
          <w:sz w:val="24"/>
        </w:rPr>
        <w:t>Considerando que</w:t>
      </w:r>
      <w:r w:rsidRPr="00456ECA">
        <w:rPr>
          <w:sz w:val="24"/>
        </w:rPr>
        <w:t>:</w:t>
      </w:r>
    </w:p>
    <w:p w:rsidRPr="00456ECA" w:rsidR="00456ECA" w:rsidP="00456ECA" w:rsidRDefault="00456ECA" w14:paraId="067CC203" w14:textId="77777777">
      <w:pPr>
        <w:spacing w:before="120" w:after="120" w:line="240" w:lineRule="auto"/>
        <w:ind w:left="33"/>
        <w:contextualSpacing/>
        <w:rPr>
          <w:b/>
          <w:sz w:val="24"/>
        </w:rPr>
      </w:pPr>
    </w:p>
    <w:p w:rsidRPr="00456ECA" w:rsidR="00456ECA" w:rsidP="00456ECA" w:rsidRDefault="00456ECA" w14:paraId="7B2BA92E" w14:textId="77777777">
      <w:pPr>
        <w:pStyle w:val="Prrafodelista"/>
        <w:numPr>
          <w:ilvl w:val="0"/>
          <w:numId w:val="6"/>
        </w:numPr>
        <w:spacing w:before="120" w:after="120" w:line="240" w:lineRule="auto"/>
        <w:jc w:val="both"/>
        <w:rPr>
          <w:rFonts w:ascii="Cambria" w:hAnsi="Cambria"/>
          <w:sz w:val="24"/>
          <w:szCs w:val="24"/>
        </w:rPr>
      </w:pPr>
      <w:r w:rsidRPr="00456ECA">
        <w:rPr>
          <w:rFonts w:ascii="Cambria" w:hAnsi="Cambria"/>
          <w:sz w:val="24"/>
          <w:szCs w:val="24"/>
        </w:rPr>
        <w:t xml:space="preserve">El Consejo Nacional de Supervisión del Sistema Financiero aprobó mediante Artículo 7, del Acta de la Sesión 1058-2013, del 19 de agosto del 2013 el </w:t>
      </w:r>
      <w:r w:rsidRPr="00456ECA">
        <w:rPr>
          <w:rFonts w:ascii="Cambria" w:hAnsi="Cambria"/>
          <w:i/>
          <w:sz w:val="24"/>
          <w:szCs w:val="24"/>
        </w:rPr>
        <w:t>Reglamento sobre administración del riesgo de liquidez</w:t>
      </w:r>
      <w:r w:rsidRPr="00456ECA">
        <w:rPr>
          <w:rFonts w:ascii="Cambria" w:hAnsi="Cambria"/>
          <w:sz w:val="24"/>
          <w:szCs w:val="24"/>
        </w:rPr>
        <w:t>, Acuerdo SUGEF 17-13. Publicado en el Diario Oficial La Gaceta N° 166 del 30 de agosto del 2013.</w:t>
      </w:r>
    </w:p>
    <w:p w:rsidRPr="00456ECA" w:rsidR="00456ECA" w:rsidP="00456ECA" w:rsidRDefault="00456ECA" w14:paraId="55063D79" w14:textId="77777777">
      <w:pPr>
        <w:pStyle w:val="Prrafodelista"/>
        <w:spacing w:before="120" w:after="120" w:line="240" w:lineRule="auto"/>
        <w:jc w:val="both"/>
        <w:rPr>
          <w:rFonts w:ascii="Cambria" w:hAnsi="Cambria"/>
          <w:sz w:val="24"/>
          <w:szCs w:val="24"/>
        </w:rPr>
      </w:pPr>
    </w:p>
    <w:p w:rsidRPr="00456ECA" w:rsidR="00456ECA" w:rsidP="00456ECA" w:rsidRDefault="00456ECA" w14:paraId="6B713D38" w14:textId="77777777">
      <w:pPr>
        <w:pStyle w:val="Prrafodelista"/>
        <w:numPr>
          <w:ilvl w:val="0"/>
          <w:numId w:val="6"/>
        </w:numPr>
        <w:spacing w:before="120" w:after="120" w:line="240" w:lineRule="auto"/>
        <w:jc w:val="both"/>
        <w:rPr>
          <w:rFonts w:ascii="Cambria" w:hAnsi="Cambria"/>
          <w:sz w:val="24"/>
          <w:szCs w:val="24"/>
        </w:rPr>
      </w:pPr>
      <w:r w:rsidRPr="00456ECA">
        <w:rPr>
          <w:rFonts w:ascii="Cambria" w:hAnsi="Cambria"/>
          <w:sz w:val="24"/>
          <w:szCs w:val="24"/>
        </w:rPr>
        <w:t xml:space="preserve">Mediante Circular Externa SUGEF 2856-2014 del 21 de noviembre del 2014, la SUGEF comunicó a las instituciones financieras la creación de una </w:t>
      </w:r>
      <w:r w:rsidRPr="00456ECA">
        <w:rPr>
          <w:rFonts w:ascii="Cambria" w:hAnsi="Cambria"/>
          <w:sz w:val="24"/>
          <w:szCs w:val="24"/>
          <w:lang w:val="es-ES"/>
        </w:rPr>
        <w:t>Nueva Clase de Datos ICL dentro del Sistema de Captura, Verificación y Carga de Datos (SICVECA), mediante la cual éstas envían el detalle y resultado del Indicador de Cobertura de Liquidez.</w:t>
      </w:r>
    </w:p>
    <w:p w:rsidRPr="00456ECA" w:rsidR="00456ECA" w:rsidP="00456ECA" w:rsidRDefault="00456ECA" w14:paraId="72468D9E" w14:textId="77777777">
      <w:pPr>
        <w:pStyle w:val="Prrafodelista"/>
        <w:spacing w:before="120" w:after="120" w:line="240" w:lineRule="auto"/>
        <w:jc w:val="both"/>
        <w:rPr>
          <w:rFonts w:ascii="Cambria" w:hAnsi="Cambria"/>
          <w:sz w:val="24"/>
          <w:szCs w:val="24"/>
        </w:rPr>
      </w:pPr>
    </w:p>
    <w:p w:rsidRPr="00456ECA" w:rsidR="00456ECA" w:rsidP="00456ECA" w:rsidRDefault="00456ECA" w14:paraId="17B3E568" w14:textId="77777777">
      <w:pPr>
        <w:pStyle w:val="Prrafodelista"/>
        <w:numPr>
          <w:ilvl w:val="0"/>
          <w:numId w:val="6"/>
        </w:numPr>
        <w:spacing w:before="120" w:after="120" w:line="240" w:lineRule="auto"/>
        <w:jc w:val="both"/>
        <w:rPr>
          <w:rFonts w:ascii="Cambria" w:hAnsi="Cambria"/>
          <w:bCs/>
          <w:sz w:val="24"/>
          <w:szCs w:val="24"/>
          <w:lang w:val="es-ES"/>
        </w:rPr>
      </w:pPr>
      <w:r w:rsidRPr="00456ECA">
        <w:rPr>
          <w:rFonts w:ascii="Cambria" w:hAnsi="Cambria"/>
          <w:bCs/>
          <w:sz w:val="24"/>
          <w:szCs w:val="24"/>
          <w:lang w:val="es-ES"/>
        </w:rPr>
        <w:t xml:space="preserve">Que es responsabilidad de las entidades supervisadas, cumplir con el envío oportuno de la información, de conformidad con los plazos de vigencia establecidos en el </w:t>
      </w:r>
      <w:r w:rsidRPr="00456ECA">
        <w:rPr>
          <w:rFonts w:ascii="Cambria" w:hAnsi="Cambria"/>
          <w:bCs/>
          <w:i/>
          <w:sz w:val="24"/>
          <w:szCs w:val="24"/>
          <w:lang w:val="es-ES"/>
        </w:rPr>
        <w:t>Reglamento sobre la administración del riesgo de liquidez</w:t>
      </w:r>
      <w:r w:rsidRPr="00456ECA">
        <w:rPr>
          <w:rFonts w:ascii="Cambria" w:hAnsi="Cambria"/>
          <w:bCs/>
          <w:sz w:val="24"/>
          <w:szCs w:val="24"/>
          <w:lang w:val="es-ES"/>
        </w:rPr>
        <w:t>, Acuerdo SUGEF 17-13.</w:t>
      </w:r>
    </w:p>
    <w:p w:rsidRPr="00456ECA" w:rsidR="00456ECA" w:rsidP="00456ECA" w:rsidRDefault="00456ECA" w14:paraId="6B7475C2" w14:textId="77777777">
      <w:pPr>
        <w:pStyle w:val="Prrafodelista"/>
        <w:spacing w:before="120" w:after="120" w:line="240" w:lineRule="auto"/>
        <w:jc w:val="both"/>
        <w:rPr>
          <w:rFonts w:ascii="Cambria" w:hAnsi="Cambria"/>
          <w:bCs/>
          <w:sz w:val="24"/>
          <w:szCs w:val="24"/>
          <w:lang w:val="es-ES"/>
        </w:rPr>
      </w:pPr>
    </w:p>
    <w:p w:rsidRPr="00456ECA" w:rsidR="00456ECA" w:rsidP="00456ECA" w:rsidRDefault="00456ECA" w14:paraId="6DD68F68" w14:textId="77777777">
      <w:pPr>
        <w:spacing w:before="120" w:after="120" w:line="240" w:lineRule="auto"/>
        <w:contextualSpacing/>
        <w:rPr>
          <w:rFonts w:eastAsia="Calibri"/>
          <w:bCs/>
          <w:sz w:val="24"/>
        </w:rPr>
      </w:pPr>
    </w:p>
    <w:p w:rsidRPr="00456ECA" w:rsidR="00456ECA" w:rsidP="00456ECA" w:rsidRDefault="00456ECA" w14:paraId="5B487367" w14:textId="77777777">
      <w:pPr>
        <w:pStyle w:val="Prrafodelista"/>
        <w:numPr>
          <w:ilvl w:val="0"/>
          <w:numId w:val="6"/>
        </w:numPr>
        <w:spacing w:before="120" w:after="120" w:line="240" w:lineRule="auto"/>
        <w:jc w:val="both"/>
        <w:rPr>
          <w:rFonts w:ascii="Cambria" w:hAnsi="Cambria"/>
          <w:bCs/>
          <w:sz w:val="24"/>
          <w:szCs w:val="24"/>
          <w:lang w:val="es-ES"/>
        </w:rPr>
      </w:pPr>
      <w:r w:rsidRPr="00456ECA">
        <w:rPr>
          <w:rFonts w:ascii="Cambria" w:hAnsi="Cambria"/>
          <w:bCs/>
          <w:sz w:val="24"/>
          <w:szCs w:val="24"/>
          <w:lang w:val="es-ES"/>
        </w:rPr>
        <w:lastRenderedPageBreak/>
        <w:t xml:space="preserve">De acuerdo con el </w:t>
      </w:r>
      <w:r w:rsidRPr="00456ECA">
        <w:rPr>
          <w:rFonts w:ascii="Cambria" w:hAnsi="Cambria"/>
          <w:bCs/>
          <w:i/>
          <w:sz w:val="24"/>
          <w:szCs w:val="24"/>
          <w:lang w:val="es-ES"/>
        </w:rPr>
        <w:t>Reglamento sobre la administración del riesgo de liquidez</w:t>
      </w:r>
      <w:r w:rsidRPr="00456ECA">
        <w:rPr>
          <w:rFonts w:ascii="Cambria" w:hAnsi="Cambria"/>
          <w:bCs/>
          <w:sz w:val="24"/>
          <w:szCs w:val="24"/>
          <w:lang w:val="es-ES"/>
        </w:rPr>
        <w:t>, Acuerdo SUGEF 17-13, Artículo 19 “</w:t>
      </w:r>
      <w:r w:rsidRPr="00456ECA">
        <w:rPr>
          <w:rFonts w:ascii="Cambria" w:hAnsi="Cambria"/>
          <w:bCs/>
          <w:i/>
          <w:sz w:val="24"/>
          <w:szCs w:val="24"/>
          <w:lang w:val="es-ES"/>
        </w:rPr>
        <w:t>Envío de la información a la SUGEF</w:t>
      </w:r>
      <w:r w:rsidRPr="00456ECA">
        <w:rPr>
          <w:rFonts w:ascii="Cambria" w:hAnsi="Cambria"/>
          <w:bCs/>
          <w:sz w:val="24"/>
          <w:szCs w:val="24"/>
          <w:lang w:val="es-ES"/>
        </w:rPr>
        <w:t>”, las entidades deben suministrar a la SUGEF en el plazo, por los medios y forma que esta determine, los resultados del Indicador de Cobertura de Liquidez y otra información que la Superintendencia estime necesaria para fines de seguimiento. Así mismo, el artículo citado indica que “</w:t>
      </w:r>
      <w:r w:rsidRPr="00456ECA">
        <w:rPr>
          <w:rFonts w:ascii="Cambria" w:hAnsi="Cambria"/>
          <w:bCs/>
          <w:i/>
          <w:sz w:val="24"/>
          <w:szCs w:val="24"/>
          <w:lang w:val="es-ES"/>
        </w:rPr>
        <w:t>Tratándose de situaciones de tensión, la SUGEF solicitará a la entidad suministrar esta información con periodicidad diaria o semanal, según sea la situación, y la entidad debe estar en la capacidad operativa suficiente para reportar esta información con esa periodicidad”</w:t>
      </w:r>
      <w:r w:rsidRPr="00456ECA">
        <w:rPr>
          <w:rFonts w:ascii="Cambria" w:hAnsi="Cambria"/>
          <w:bCs/>
          <w:sz w:val="24"/>
          <w:szCs w:val="24"/>
          <w:lang w:val="es-ES"/>
        </w:rPr>
        <w:t>.</w:t>
      </w:r>
    </w:p>
    <w:p w:rsidRPr="00456ECA" w:rsidR="00456ECA" w:rsidP="00456ECA" w:rsidRDefault="00456ECA" w14:paraId="0580228B" w14:textId="77777777">
      <w:pPr>
        <w:pStyle w:val="Prrafodelista"/>
        <w:spacing w:before="120" w:after="120" w:line="240" w:lineRule="auto"/>
        <w:jc w:val="both"/>
        <w:rPr>
          <w:rFonts w:ascii="Cambria" w:hAnsi="Cambria"/>
          <w:bCs/>
          <w:sz w:val="24"/>
          <w:szCs w:val="24"/>
          <w:lang w:val="es-ES"/>
        </w:rPr>
      </w:pPr>
    </w:p>
    <w:p w:rsidRPr="00456ECA" w:rsidR="00456ECA" w:rsidP="00456ECA" w:rsidRDefault="00456ECA" w14:paraId="1FB9E618" w14:textId="77777777">
      <w:pPr>
        <w:pStyle w:val="Prrafodelista"/>
        <w:numPr>
          <w:ilvl w:val="0"/>
          <w:numId w:val="6"/>
        </w:numPr>
        <w:spacing w:before="120" w:after="120" w:line="240" w:lineRule="auto"/>
        <w:jc w:val="both"/>
        <w:rPr>
          <w:rFonts w:ascii="Cambria" w:hAnsi="Cambria"/>
          <w:bCs/>
          <w:sz w:val="24"/>
          <w:szCs w:val="24"/>
          <w:lang w:val="es-ES"/>
        </w:rPr>
      </w:pPr>
      <w:r w:rsidRPr="00456ECA">
        <w:rPr>
          <w:rFonts w:ascii="Cambria" w:hAnsi="Cambria"/>
          <w:bCs/>
          <w:sz w:val="24"/>
          <w:szCs w:val="24"/>
          <w:lang w:val="es-ES"/>
        </w:rPr>
        <w:t>La coyuntura actual, detonada por la situación de emergencia sanitaria provocada por la enfermedad COVID19, se caracteriza por la interrupción del normal desarrollo de la actividad económica y comercial. Ante este escenario pueden detonarse presiones generalizadas sobre la posición de liquidez de las entidades supervisadas, originadas por un lado en la posposición temporal de los flujos de repago de las operaciones crediticias de los sectores y actividades mayormente afectados, y por el otro, ante el uso de fondos líquidos depositados en las entidades financieras y otras figuras de inversión, con el fin de sustentar la continuidad de los negocios. Siendo que las situaciones asociadas con la liquidez de las entidades supervisadas tienden a manifestarse de manera inmediata o en plazos muy cortos, por lo que resulta necesario que el Indicador de Cobertura de Liquidez (ICL) calculado por las entidades sea enviado a la Superintendencia durante el resto del 2020 con frecuencia diaria.</w:t>
      </w:r>
    </w:p>
    <w:p w:rsidRPr="00456ECA" w:rsidR="00456ECA" w:rsidP="00456ECA" w:rsidRDefault="00456ECA" w14:paraId="39BCF804" w14:textId="77777777">
      <w:pPr>
        <w:pStyle w:val="Prrafodelista"/>
        <w:spacing w:line="240" w:lineRule="auto"/>
        <w:rPr>
          <w:rFonts w:ascii="Cambria" w:hAnsi="Cambria"/>
          <w:bCs/>
          <w:sz w:val="24"/>
          <w:szCs w:val="24"/>
          <w:lang w:val="es-ES"/>
        </w:rPr>
      </w:pPr>
    </w:p>
    <w:p w:rsidRPr="00456ECA" w:rsidR="00456ECA" w:rsidP="00456ECA" w:rsidRDefault="00456ECA" w14:paraId="21838E5E" w14:textId="77777777">
      <w:pPr>
        <w:pStyle w:val="Prrafodelista"/>
        <w:numPr>
          <w:ilvl w:val="0"/>
          <w:numId w:val="6"/>
        </w:numPr>
        <w:spacing w:before="120" w:after="120" w:line="240" w:lineRule="auto"/>
        <w:jc w:val="both"/>
        <w:rPr>
          <w:rFonts w:ascii="Cambria" w:hAnsi="Cambria"/>
          <w:bCs/>
          <w:sz w:val="24"/>
          <w:szCs w:val="24"/>
          <w:lang w:val="es-ES"/>
        </w:rPr>
      </w:pPr>
      <w:r w:rsidRPr="00456ECA">
        <w:rPr>
          <w:rFonts w:ascii="Cambria" w:hAnsi="Cambria"/>
          <w:bCs/>
          <w:sz w:val="24"/>
          <w:szCs w:val="24"/>
          <w:lang w:val="es-ES"/>
        </w:rPr>
        <w:t>Esta medida complementa la facultada conferida por el Consejo Nacional de Supervisión del Sistema Financiero al Superintendente General de Entidades Financieras, mediante artículo 3 del acta de la sesión 1566-2020 celebrada el 23 de marzo de 2020, para que a partir del 24 de marzo de 2020 y hasta el 30 de setiembre de 2020, con base en elementos de riesgos sistémicos o cuando sea necesario para salvaguardar la estabilidad del sistema financiero, éste disponga mediante resolución fundamentada la modificación de los parámetros que determinan los niveles de normalidad o de irregularidad para los indicadores de liquidez regulatorios, así como los niveles del ICL.</w:t>
      </w:r>
    </w:p>
    <w:p w:rsidRPr="00456ECA" w:rsidR="00456ECA" w:rsidP="00456ECA" w:rsidRDefault="00456ECA" w14:paraId="4EF9689D" w14:textId="77777777">
      <w:pPr>
        <w:pStyle w:val="Prrafodelista"/>
        <w:spacing w:before="120" w:after="120" w:line="240" w:lineRule="auto"/>
        <w:jc w:val="both"/>
        <w:rPr>
          <w:rFonts w:ascii="Cambria" w:hAnsi="Cambria"/>
          <w:bCs/>
          <w:sz w:val="24"/>
          <w:szCs w:val="24"/>
          <w:lang w:val="es-ES"/>
        </w:rPr>
      </w:pPr>
    </w:p>
    <w:p w:rsidRPr="00456ECA" w:rsidR="00456ECA" w:rsidP="00456ECA" w:rsidRDefault="00456ECA" w14:paraId="5FB97167" w14:textId="77777777">
      <w:pPr>
        <w:spacing w:line="240" w:lineRule="auto"/>
        <w:contextualSpacing/>
        <w:rPr>
          <w:sz w:val="24"/>
        </w:rPr>
      </w:pPr>
      <w:r w:rsidRPr="00456ECA">
        <w:rPr>
          <w:b/>
          <w:sz w:val="24"/>
        </w:rPr>
        <w:t>Dispone</w:t>
      </w:r>
      <w:r w:rsidRPr="00456ECA">
        <w:rPr>
          <w:sz w:val="24"/>
        </w:rPr>
        <w:t>:</w:t>
      </w:r>
    </w:p>
    <w:p w:rsidRPr="00456ECA" w:rsidR="00456ECA" w:rsidP="00456ECA" w:rsidRDefault="00456ECA" w14:paraId="6840744D" w14:textId="77777777">
      <w:pPr>
        <w:pStyle w:val="Prrafodelista"/>
        <w:spacing w:line="240" w:lineRule="auto"/>
        <w:ind w:left="0"/>
        <w:jc w:val="both"/>
        <w:rPr>
          <w:rFonts w:ascii="Cambria" w:hAnsi="Cambria"/>
          <w:b/>
          <w:sz w:val="24"/>
          <w:szCs w:val="24"/>
        </w:rPr>
      </w:pPr>
    </w:p>
    <w:p w:rsidRPr="00456ECA" w:rsidR="00456ECA" w:rsidP="00456ECA" w:rsidRDefault="00456ECA" w14:paraId="0BBA9FCB" w14:textId="77777777">
      <w:pPr>
        <w:pStyle w:val="Prrafodelista"/>
        <w:numPr>
          <w:ilvl w:val="0"/>
          <w:numId w:val="7"/>
        </w:numPr>
        <w:spacing w:before="120" w:after="120" w:line="240" w:lineRule="auto"/>
        <w:jc w:val="both"/>
        <w:rPr>
          <w:rFonts w:ascii="Cambria" w:hAnsi="Cambria"/>
          <w:sz w:val="24"/>
          <w:szCs w:val="24"/>
        </w:rPr>
      </w:pPr>
      <w:r w:rsidRPr="00456ECA">
        <w:rPr>
          <w:rFonts w:ascii="Cambria" w:hAnsi="Cambria"/>
          <w:color w:val="181818"/>
          <w:sz w:val="24"/>
          <w:szCs w:val="24"/>
        </w:rPr>
        <w:t>A partir del 30 de marzo de 2020, inclusive, y hasta que el Superintendente General informe la suspensión de esta medida, las entidades supervisadas deberán remitir la información de la Clase de Datos ICL con periodicidad diaria mediante el sistema SICVECA.</w:t>
      </w:r>
    </w:p>
    <w:p w:rsidRPr="00456ECA" w:rsidR="00456ECA" w:rsidP="00456ECA" w:rsidRDefault="00456ECA" w14:paraId="1190DEDA" w14:textId="77777777">
      <w:pPr>
        <w:pStyle w:val="Prrafodelista"/>
        <w:numPr>
          <w:ilvl w:val="0"/>
          <w:numId w:val="7"/>
        </w:numPr>
        <w:spacing w:before="120" w:after="120" w:line="240" w:lineRule="auto"/>
        <w:jc w:val="both"/>
        <w:rPr>
          <w:rFonts w:ascii="Cambria" w:hAnsi="Cambria"/>
          <w:color w:val="181818"/>
          <w:sz w:val="24"/>
          <w:szCs w:val="24"/>
        </w:rPr>
      </w:pPr>
      <w:r w:rsidRPr="00456ECA">
        <w:rPr>
          <w:rFonts w:ascii="Cambria" w:hAnsi="Cambria"/>
          <w:color w:val="181818"/>
          <w:sz w:val="24"/>
          <w:szCs w:val="24"/>
        </w:rPr>
        <w:t xml:space="preserve">Para la remisión del archivo 3301 “Indicador de Cobertura de Liquidez”, en el campo del encabezado utilizar Periodo con formato dd/mm/yyyy y en cada </w:t>
      </w:r>
      <w:r w:rsidRPr="00456ECA">
        <w:rPr>
          <w:rFonts w:ascii="Cambria" w:hAnsi="Cambria"/>
          <w:color w:val="181818"/>
          <w:sz w:val="24"/>
          <w:szCs w:val="24"/>
        </w:rPr>
        <w:lastRenderedPageBreak/>
        <w:t>Registro de &lt;FechaHora/&gt; utilizar el formato: yyyy-mm-ddTHH:mm:ss, con hora estándar 17:00:00 horas.</w:t>
      </w:r>
    </w:p>
    <w:p w:rsidRPr="00456ECA" w:rsidR="00456ECA" w:rsidP="00456ECA" w:rsidRDefault="00456ECA" w14:paraId="7DC21C32" w14:textId="77777777">
      <w:pPr>
        <w:pStyle w:val="Prrafodelista"/>
        <w:numPr>
          <w:ilvl w:val="0"/>
          <w:numId w:val="7"/>
        </w:numPr>
        <w:spacing w:before="120" w:after="120" w:line="240" w:lineRule="auto"/>
        <w:jc w:val="both"/>
        <w:rPr>
          <w:rFonts w:ascii="Cambria" w:hAnsi="Cambria"/>
          <w:sz w:val="24"/>
          <w:szCs w:val="24"/>
        </w:rPr>
      </w:pPr>
      <w:r w:rsidRPr="00456ECA">
        <w:rPr>
          <w:rFonts w:ascii="Cambria" w:hAnsi="Cambria"/>
          <w:color w:val="181818"/>
          <w:sz w:val="24"/>
          <w:szCs w:val="24"/>
        </w:rPr>
        <w:t xml:space="preserve">En caso de consultas generales, remitirlas al correo electrónico </w:t>
      </w:r>
      <w:hyperlink w:history="1" r:id="rId13">
        <w:r w:rsidRPr="00456ECA">
          <w:rPr>
            <w:rFonts w:ascii="Cambria" w:hAnsi="Cambria"/>
            <w:b/>
            <w:color w:val="181818"/>
            <w:sz w:val="24"/>
            <w:szCs w:val="24"/>
          </w:rPr>
          <w:t>sugefcr@sugef.fi.cr</w:t>
        </w:r>
      </w:hyperlink>
    </w:p>
    <w:p w:rsidRPr="00456ECA" w:rsidR="00456ECA" w:rsidP="00456ECA" w:rsidRDefault="00456ECA" w14:paraId="1AC0A38D" w14:textId="77777777">
      <w:pPr>
        <w:pStyle w:val="NormalWeb"/>
        <w:spacing w:before="120" w:beforeAutospacing="0" w:after="120" w:afterAutospacing="0"/>
        <w:ind w:left="708"/>
        <w:contextualSpacing/>
        <w:jc w:val="both"/>
        <w:rPr>
          <w:rFonts w:ascii="Cambria" w:hAnsi="Cambria"/>
          <w:color w:val="auto"/>
          <w:sz w:val="24"/>
          <w:szCs w:val="24"/>
        </w:rPr>
      </w:pPr>
    </w:p>
    <w:p w:rsidRPr="00F578C0" w:rsidR="00F578C0" w:rsidP="00F578C0" w:rsidRDefault="00F578C0" w14:paraId="35FB81AF" w14:textId="77777777">
      <w:pPr>
        <w:spacing w:line="240" w:lineRule="auto"/>
        <w:contextualSpacing/>
        <w:rPr>
          <w:sz w:val="24"/>
        </w:rPr>
      </w:pPr>
      <w:bookmarkStart w:name="_GoBack" w:id="0"/>
      <w:bookmarkEnd w:id="0"/>
      <w:r w:rsidRPr="00F578C0">
        <w:rPr>
          <w:sz w:val="24"/>
        </w:rPr>
        <w:t>Rige a partir de su comunicación.</w:t>
      </w:r>
    </w:p>
    <w:p w:rsidRPr="00F578C0" w:rsidR="00F578C0" w:rsidP="00F578C0" w:rsidRDefault="00F578C0" w14:paraId="0CAAE45A" w14:textId="77777777">
      <w:pPr>
        <w:spacing w:line="240" w:lineRule="auto"/>
        <w:contextualSpacing/>
        <w:rPr>
          <w:sz w:val="24"/>
        </w:rPr>
      </w:pPr>
    </w:p>
    <w:p w:rsidRPr="00F578C0" w:rsidR="00F578C0" w:rsidP="00F578C0" w:rsidRDefault="00F578C0" w14:paraId="13071901" w14:textId="77777777">
      <w:pPr>
        <w:spacing w:line="240" w:lineRule="auto"/>
        <w:contextualSpacing/>
        <w:rPr>
          <w:sz w:val="24"/>
        </w:rPr>
      </w:pPr>
      <w:r w:rsidRPr="00F578C0">
        <w:rPr>
          <w:sz w:val="24"/>
        </w:rPr>
        <w:t>Publíquese en el Diario Oficial La Gaceta.</w:t>
      </w:r>
    </w:p>
    <w:p w:rsidRPr="00A85B57" w:rsidR="00776B79" w:rsidP="00776B79" w:rsidRDefault="00776B79" w14:paraId="7A3E3D71" w14:textId="77777777">
      <w:pPr>
        <w:spacing w:line="240" w:lineRule="auto"/>
        <w:contextualSpacing/>
        <w:rPr>
          <w:sz w:val="24"/>
        </w:rPr>
      </w:pPr>
    </w:p>
    <w:p w:rsidRPr="00A85B57" w:rsidR="006972C9" w:rsidP="006972C9" w:rsidRDefault="006972C9" w14:paraId="58349D53" w14:textId="39530FA8">
      <w:pPr>
        <w:pStyle w:val="Texto"/>
        <w:spacing w:before="0" w:after="0" w:line="240" w:lineRule="auto"/>
        <w:rPr>
          <w:sz w:val="24"/>
        </w:rPr>
      </w:pPr>
      <w:r w:rsidRPr="00A85B57">
        <w:rPr>
          <w:sz w:val="24"/>
        </w:rPr>
        <w:t>Atentamente,</w:t>
      </w:r>
    </w:p>
    <w:p w:rsidRPr="00A85B57" w:rsidR="00022D7B" w:rsidP="006972C9" w:rsidRDefault="00022D7B" w14:paraId="73768278" w14:textId="428C753A">
      <w:pPr>
        <w:pStyle w:val="Texto"/>
        <w:spacing w:before="0" w:after="0" w:line="240" w:lineRule="auto"/>
        <w:rPr>
          <w:sz w:val="24"/>
        </w:rPr>
      </w:pPr>
      <w:r w:rsidRPr="00A85B57">
        <w:rPr>
          <w:noProof/>
          <w:sz w:val="24"/>
          <w:lang w:val="es-CR" w:eastAsia="es-CR"/>
        </w:rPr>
        <w:drawing>
          <wp:anchor distT="0" distB="0" distL="114300" distR="114300" simplePos="0" relativeHeight="251659264" behindDoc="1" locked="0" layoutInCell="1" allowOverlap="1" wp14:editId="4EE75E7B" wp14:anchorId="7BA40C73">
            <wp:simplePos x="0" y="0"/>
            <wp:positionH relativeFrom="column">
              <wp:posOffset>-302260</wp:posOffset>
            </wp:positionH>
            <wp:positionV relativeFrom="paragraph">
              <wp:posOffset>134251</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A85B57" w:rsidR="00022D7B" w:rsidP="006972C9" w:rsidRDefault="00022D7B" w14:paraId="355F58A3" w14:textId="77777777">
      <w:pPr>
        <w:pStyle w:val="Texto"/>
        <w:spacing w:before="0" w:after="0" w:line="240" w:lineRule="auto"/>
        <w:rPr>
          <w:sz w:val="24"/>
        </w:rPr>
      </w:pPr>
    </w:p>
    <w:p w:rsidRPr="00A85B57" w:rsidR="006972C9" w:rsidP="006972C9" w:rsidRDefault="006972C9" w14:paraId="75846E7D" w14:textId="77777777">
      <w:pPr>
        <w:spacing w:line="240" w:lineRule="auto"/>
        <w:rPr>
          <w:sz w:val="24"/>
        </w:rPr>
      </w:pPr>
    </w:p>
    <w:p w:rsidRPr="00A85B57" w:rsidR="008B0595" w:rsidP="00022D7B" w:rsidRDefault="008B0595" w14:paraId="748F9C7B" w14:textId="77777777">
      <w:pPr>
        <w:pStyle w:val="Negrita"/>
        <w:spacing w:line="240" w:lineRule="auto"/>
        <w:contextualSpacing/>
        <w:jc w:val="left"/>
        <w:rPr>
          <w:noProof/>
          <w:sz w:val="24"/>
          <w:lang w:val="es-CR" w:eastAsia="es-CR"/>
        </w:rPr>
      </w:pPr>
      <w:r w:rsidRPr="00A85B57">
        <w:rPr>
          <w:b w:val="0"/>
          <w:sz w:val="24"/>
        </w:rPr>
        <w:t>Bernardo Alfaro A.</w:t>
      </w:r>
      <w:r w:rsidRPr="00A85B57">
        <w:rPr>
          <w:sz w:val="24"/>
        </w:rPr>
        <w:br/>
        <w:t xml:space="preserve">Superintendente </w:t>
      </w:r>
      <w:r w:rsidRPr="00A85B57">
        <w:rPr>
          <w:noProof/>
          <w:sz w:val="24"/>
          <w:lang w:val="es-CR" w:eastAsia="es-CR"/>
        </w:rPr>
        <w:t xml:space="preserve"> </w:t>
      </w:r>
    </w:p>
    <w:p w:rsidRPr="00A85B57" w:rsidR="008B0595" w:rsidP="008B0595" w:rsidRDefault="008B0595" w14:paraId="44730A40" w14:textId="77777777">
      <w:pPr>
        <w:pStyle w:val="Negrita"/>
        <w:jc w:val="left"/>
        <w:rPr>
          <w:noProof/>
          <w:sz w:val="24"/>
          <w:lang w:val="es-CR" w:eastAsia="es-CR"/>
        </w:rPr>
      </w:pPr>
    </w:p>
    <w:p w:rsidRPr="00A85B57" w:rsidR="006972C9" w:rsidP="00022D7B" w:rsidRDefault="00022D7B" w14:paraId="597F37AE" w14:textId="4A2D63B1">
      <w:pPr>
        <w:pStyle w:val="Negrita"/>
        <w:rPr>
          <w:sz w:val="24"/>
        </w:rPr>
      </w:pPr>
      <w:r w:rsidRPr="00A85B57">
        <w:rPr>
          <w:sz w:val="24"/>
        </w:rPr>
        <w:t>JSC/gvl*</w:t>
      </w:r>
    </w:p>
    <w:p w:rsidRPr="006972C9" w:rsidR="00AF06C5" w:rsidP="006972C9" w:rsidRDefault="006972C9" w14:paraId="0087FA90" w14:textId="77777777">
      <w:pPr>
        <w:tabs>
          <w:tab w:val="left" w:pos="7187"/>
        </w:tabs>
      </w:pPr>
      <w:r>
        <w:tab/>
      </w:r>
    </w:p>
    <w:sectPr w:rsidRPr="006972C9" w:rsidR="00AF06C5">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9D64" w14:textId="77777777" w:rsidR="00776B79" w:rsidRDefault="00776B79" w:rsidP="009349F3">
      <w:pPr>
        <w:spacing w:line="240" w:lineRule="auto"/>
      </w:pPr>
      <w:r>
        <w:separator/>
      </w:r>
    </w:p>
  </w:endnote>
  <w:endnote w:type="continuationSeparator" w:id="0">
    <w:p w14:paraId="5A2A73ED" w14:textId="77777777" w:rsidR="00776B79" w:rsidRDefault="00776B7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339309E" w14:textId="77777777">
      <w:tc>
        <w:tcPr>
          <w:tcW w:w="2942" w:type="dxa"/>
        </w:tcPr>
        <w:p w:rsidR="00517D62" w:rsidRDefault="00517D62" w14:paraId="3D554087"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A99596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3806AC04" w14:textId="77777777">
          <w:pPr>
            <w:pStyle w:val="Piedepgina"/>
            <w:rPr>
              <w:b/>
              <w:color w:val="7F7F7F" w:themeColor="text1" w:themeTint="80"/>
              <w:sz w:val="16"/>
              <w:szCs w:val="16"/>
            </w:rPr>
          </w:pPr>
        </w:p>
      </w:tc>
      <w:tc>
        <w:tcPr>
          <w:tcW w:w="2943" w:type="dxa"/>
        </w:tcPr>
        <w:p w:rsidRPr="009349F3" w:rsidR="00517D62" w:rsidP="00855792" w:rsidRDefault="00517D62" w14:paraId="7301DDC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9A5402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39C035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456ECA">
            <w:rPr>
              <w:b/>
              <w:noProof/>
              <w:color w:val="7F7F7F" w:themeColor="text1" w:themeTint="80"/>
              <w:sz w:val="16"/>
              <w:szCs w:val="16"/>
            </w:rPr>
            <w:t>3</w:t>
          </w:r>
          <w:r w:rsidRPr="006972C9">
            <w:rPr>
              <w:b/>
              <w:color w:val="7F7F7F" w:themeColor="text1" w:themeTint="80"/>
              <w:sz w:val="16"/>
              <w:szCs w:val="16"/>
            </w:rPr>
            <w:fldChar w:fldCharType="end"/>
          </w:r>
        </w:p>
      </w:tc>
    </w:tr>
  </w:tbl>
  <w:p w:rsidR="009349F3" w:rsidRDefault="009349F3" w14:paraId="540AFB9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4BB4" w14:textId="77777777" w:rsidR="00776B79" w:rsidRDefault="00776B79" w:rsidP="009349F3">
      <w:pPr>
        <w:spacing w:line="240" w:lineRule="auto"/>
      </w:pPr>
      <w:r>
        <w:separator/>
      </w:r>
    </w:p>
  </w:footnote>
  <w:footnote w:type="continuationSeparator" w:id="0">
    <w:p w14:paraId="2AAB0F1A" w14:textId="77777777" w:rsidR="00776B79" w:rsidRDefault="00776B79"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1D04AC3C" w14:textId="77777777">
    <w:pPr>
      <w:pStyle w:val="Encabezado"/>
    </w:pPr>
    <w:r>
      <w:ptab w:alignment="center" w:relativeTo="margin" w:leader="none"/>
    </w:r>
    <w:r>
      <w:rPr>
        <w:noProof/>
        <w:lang w:val="es-CR" w:eastAsia="es-CR"/>
      </w:rPr>
      <w:drawing>
        <wp:inline distT="0" distB="0" distL="0" distR="0" wp14:anchorId="6E1CE38D" wp14:editId="65527DE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0000CC3"/>
    <w:multiLevelType w:val="hybridMultilevel"/>
    <w:tmpl w:val="9F68BECC"/>
    <w:lvl w:ilvl="0" w:tplc="477EFE20">
      <w:start w:val="1"/>
      <w:numFmt w:val="upp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02C11B3"/>
    <w:multiLevelType w:val="multilevel"/>
    <w:tmpl w:val="4CAE0116"/>
    <w:lvl w:ilvl="0">
      <w:start w:val="1"/>
      <w:numFmt w:val="decimal"/>
      <w:lvlText w:val="%1."/>
      <w:lvlJc w:val="left"/>
      <w:pPr>
        <w:tabs>
          <w:tab w:val="num" w:pos="720"/>
        </w:tabs>
        <w:ind w:left="720" w:hanging="360"/>
      </w:pPr>
      <w:rPr>
        <w:lang w:val="es-ES"/>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F188D"/>
    <w:multiLevelType w:val="hybridMultilevel"/>
    <w:tmpl w:val="1BE81514"/>
    <w:lvl w:ilvl="0" w:tplc="195AED48">
      <w:start w:val="1"/>
      <w:numFmt w:val="upperRoman"/>
      <w:lvlText w:val="%1."/>
      <w:lvlJc w:val="left"/>
      <w:pPr>
        <w:ind w:left="914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3C4415F"/>
    <w:multiLevelType w:val="hybridMultilevel"/>
    <w:tmpl w:val="3FE23C74"/>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79"/>
    <w:rsid w:val="00022D7B"/>
    <w:rsid w:val="001155A7"/>
    <w:rsid w:val="00226E69"/>
    <w:rsid w:val="0034377D"/>
    <w:rsid w:val="004313B1"/>
    <w:rsid w:val="00456ECA"/>
    <w:rsid w:val="00517D62"/>
    <w:rsid w:val="006972C9"/>
    <w:rsid w:val="007400DF"/>
    <w:rsid w:val="00776B79"/>
    <w:rsid w:val="007E1EC2"/>
    <w:rsid w:val="008200B7"/>
    <w:rsid w:val="008370A1"/>
    <w:rsid w:val="00851CE3"/>
    <w:rsid w:val="00855792"/>
    <w:rsid w:val="008748CC"/>
    <w:rsid w:val="008B0595"/>
    <w:rsid w:val="008E1275"/>
    <w:rsid w:val="008E6744"/>
    <w:rsid w:val="00900B79"/>
    <w:rsid w:val="009349F3"/>
    <w:rsid w:val="0095665A"/>
    <w:rsid w:val="00A85B57"/>
    <w:rsid w:val="00AD5B5C"/>
    <w:rsid w:val="00AF06C5"/>
    <w:rsid w:val="00B4403B"/>
    <w:rsid w:val="00B7752A"/>
    <w:rsid w:val="00DE2D06"/>
    <w:rsid w:val="00E924AD"/>
    <w:rsid w:val="00F578C0"/>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1708F"/>
  <w15:chartTrackingRefBased/>
  <w15:docId w15:val="{86B32F34-6621-44E2-B5B8-0829902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
    <w:basedOn w:val="Normal"/>
    <w:link w:val="PrrafodelistaCar"/>
    <w:uiPriority w:val="34"/>
    <w:qFormat/>
    <w:rsid w:val="00776B79"/>
    <w:pPr>
      <w:spacing w:after="160" w:line="259" w:lineRule="auto"/>
      <w:ind w:left="720"/>
      <w:contextualSpacing/>
      <w:jc w:val="left"/>
    </w:pPr>
    <w:rPr>
      <w:rFonts w:asciiTheme="minorHAnsi" w:eastAsiaTheme="minorHAnsi" w:hAnsiTheme="minorHAnsi" w:cstheme="minorBidi"/>
      <w:szCs w:val="22"/>
      <w:lang w:val="es-CR"/>
    </w:rPr>
  </w:style>
  <w:style w:type="character" w:styleId="Refdecomentario">
    <w:name w:val="annotation reference"/>
    <w:basedOn w:val="Fuentedeprrafopredeter"/>
    <w:uiPriority w:val="99"/>
    <w:semiHidden/>
    <w:unhideWhenUsed/>
    <w:rsid w:val="00776B79"/>
    <w:rPr>
      <w:sz w:val="16"/>
      <w:szCs w:val="16"/>
    </w:rPr>
  </w:style>
  <w:style w:type="paragraph" w:styleId="Textocomentario">
    <w:name w:val="annotation text"/>
    <w:basedOn w:val="Normal"/>
    <w:link w:val="TextocomentarioCar"/>
    <w:uiPriority w:val="99"/>
    <w:semiHidden/>
    <w:unhideWhenUsed/>
    <w:rsid w:val="00776B79"/>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776B79"/>
    <w:rPr>
      <w:sz w:val="20"/>
      <w:szCs w:val="20"/>
    </w:rPr>
  </w:style>
  <w:style w:type="character" w:customStyle="1" w:styleId="PrrafodelistaCar">
    <w:name w:val="Párrafo de lista Car"/>
    <w:aliases w:val="Informe Car,Con viñetas Car,Normal con viñetas Car,3 Car,Use Case List Paragraph Car,Bullet 1 Car"/>
    <w:link w:val="Prrafodelista"/>
    <w:uiPriority w:val="34"/>
    <w:locked/>
    <w:rsid w:val="00A85B57"/>
  </w:style>
  <w:style w:type="paragraph" w:styleId="NormalWeb">
    <w:name w:val="Normal (Web)"/>
    <w:basedOn w:val="Normal"/>
    <w:rsid w:val="00456ECA"/>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gefcr@sugef.fi.c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3DA67CD0C46BC92B843E07971C7CD"/>
        <w:category>
          <w:name w:val="General"/>
          <w:gallery w:val="placeholder"/>
        </w:category>
        <w:types>
          <w:type w:val="bbPlcHdr"/>
        </w:types>
        <w:behaviors>
          <w:behavior w:val="content"/>
        </w:behaviors>
        <w:guid w:val="{BA972475-A3D7-4913-8D9D-133B0C09472A}"/>
      </w:docPartPr>
      <w:docPartBody>
        <w:p w:rsidR="00000000" w:rsidRDefault="00876546" w:rsidP="00876546">
          <w:pPr>
            <w:pStyle w:val="0DE3DA67CD0C46BC92B843E07971C7CD"/>
          </w:pPr>
          <w:r w:rsidRPr="001E0779">
            <w:rPr>
              <w:rStyle w:val="Textodelmarcadordeposicin"/>
            </w:rPr>
            <w:t>Haga clic aquí para escribir texto.</w:t>
          </w:r>
        </w:p>
      </w:docPartBody>
    </w:docPart>
    <w:docPart>
      <w:docPartPr>
        <w:name w:val="249DBBCB690C48B9AB251C4FA4749232"/>
        <w:category>
          <w:name w:val="General"/>
          <w:gallery w:val="placeholder"/>
        </w:category>
        <w:types>
          <w:type w:val="bbPlcHdr"/>
        </w:types>
        <w:behaviors>
          <w:behavior w:val="content"/>
        </w:behaviors>
        <w:guid w:val="{2BC670B0-093E-4579-B6C9-EC3A7BB77FB7}"/>
      </w:docPartPr>
      <w:docPartBody>
        <w:p w:rsidR="00000000" w:rsidRDefault="00876546" w:rsidP="00876546">
          <w:pPr>
            <w:pStyle w:val="249DBBCB690C48B9AB251C4FA474923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1"/>
    <w:rsid w:val="00876546"/>
    <w:rsid w:val="00996D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6546"/>
  </w:style>
  <w:style w:type="paragraph" w:customStyle="1" w:styleId="72FA65D5AC83416A97DAF7192D032801">
    <w:name w:val="72FA65D5AC83416A97DAF7192D032801"/>
  </w:style>
  <w:style w:type="paragraph" w:customStyle="1" w:styleId="0002686F391D4241B00B2547DDF21DB3">
    <w:name w:val="0002686F391D4241B00B2547DDF21DB3"/>
  </w:style>
  <w:style w:type="paragraph" w:customStyle="1" w:styleId="0DE3DA67CD0C46BC92B843E07971C7CD">
    <w:name w:val="0DE3DA67CD0C46BC92B843E07971C7CD"/>
    <w:rsid w:val="00876546"/>
  </w:style>
  <w:style w:type="paragraph" w:customStyle="1" w:styleId="249DBBCB690C48B9AB251C4FA4749232">
    <w:name w:val="249DBBCB690C48B9AB251C4FA4749232"/>
    <w:rsid w:val="00876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N98chPxWcavylG4m9DxaT54XdquH/+f9jRDZtrIpt/E=</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uKkYN0XZOUVMpJPaVQAPL1C7qKQTjuOVE66Yvdghdq0=</DigestValue>
    </Reference>
  </SignedInfo>
  <SignatureValue>Ee446LYS5SDMxxPyYPYo4XmYVMlyEk2NHHAbeCwi377su65LJfAc+TOFALlebB45FAF8rkUfJJYu
1RsaQ14aYXCsdTJ0I/0spnolh9pJUH+nbZnKw6+KTEKxvZQ5tCxKNEttp57BQHL6vLRLvvKaGkiz
m6EXBAPFgMGcMvqZsiKWMRXxbJpa+z7gRCWre5O2q0OZhercMcLs2QqACLwzpXuOnFhIAtCWpHbi
WTASJnhawp50u9dFF6CbIAkhNIJpd8WDm8yFgL/CpES+UwyoIKWWjC0Qz3RLAd9O2q4GpqDLRnCM
YyKF3p4dNh3sweBCG5Dd52ABYFLhwrY5rFH2kw==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O6QOxfPmYJEmMcCGy2ZmAgHXo83jqpnIOc2CbTBXpyw=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bB5CTT3wr7THH64369qN8bGqz+soxGxxSrS7wy2EoGc=</DigestValue>
      </Reference>
      <Reference URI="/word/endnotes.xml?ContentType=application/vnd.openxmlformats-officedocument.wordprocessingml.endnotes+xml">
        <DigestMethod Algorithm="http://www.w3.org/2001/04/xmlenc#sha256"/>
        <DigestValue>kdQW3mDu4OjuQQB6n+mU8razzZgA5iD0xLI/PcBsLys=</DigestValue>
      </Reference>
      <Reference URI="/word/fontTable.xml?ContentType=application/vnd.openxmlformats-officedocument.wordprocessingml.fontTable+xml">
        <DigestMethod Algorithm="http://www.w3.org/2001/04/xmlenc#sha256"/>
        <DigestValue>MIAxMVVhO6/Q5dMbCbHZOSOgXLS/xvff4KfpUSn8yak=</DigestValue>
      </Reference>
      <Reference URI="/word/footer1.xml?ContentType=application/vnd.openxmlformats-officedocument.wordprocessingml.footer+xml">
        <DigestMethod Algorithm="http://www.w3.org/2001/04/xmlenc#sha256"/>
        <DigestValue>K/GHNJgHQBmsNWKO+3l+XZVIGUdVy2WEfD3P+3qwWaQ=</DigestValue>
      </Reference>
      <Reference URI="/word/footnotes.xml?ContentType=application/vnd.openxmlformats-officedocument.wordprocessingml.footnotes+xml">
        <DigestMethod Algorithm="http://www.w3.org/2001/04/xmlenc#sha256"/>
        <DigestValue>WlkqM72AisLJH5zyTgp0KxB5bTn3YAhoaQOeElOQH4k=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i8yTn2LQOoG/POIXsjQ1OGH7Ia3p85AXWnW5SNHzXd4=</DigestValue>
      </Reference>
      <Reference URI="/word/glossary/fontTable.xml?ContentType=application/vnd.openxmlformats-officedocument.wordprocessingml.fontTable+xml">
        <DigestMethod Algorithm="http://www.w3.org/2001/04/xmlenc#sha256"/>
        <DigestValue>MIAxMVVhO6/Q5dMbCbHZOSOgXLS/xvff4KfpUSn8yak=</DigestValue>
      </Reference>
      <Reference URI="/word/glossary/settings.xml?ContentType=application/vnd.openxmlformats-officedocument.wordprocessingml.settings+xml">
        <DigestMethod Algorithm="http://www.w3.org/2001/04/xmlenc#sha256"/>
        <DigestValue>VGf8Rh1ztBrd746LkOsVxcaZhpgVOjBGEidNi8N/EhY=</DigestValue>
      </Reference>
      <Reference URI="/word/glossary/styles.xml?ContentType=application/vnd.openxmlformats-officedocument.wordprocessingml.styles+xml">
        <DigestMethod Algorithm="http://www.w3.org/2001/04/xmlenc#sha256"/>
        <DigestValue>/PeSY64KGS/XYDrRsVdKimw+YgdwfAtZbI7wXkYG1mE=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ctsgWf3Ojk5dlUMOaDWYaqqr0KjBvOar9RaOuyd71Zo=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GyHI9ODECE2AUrF7hdK25FE2rbeassWu/i9qn+0QNEc=</DigestValue>
      </Reference>
      <Reference URI="/word/settings.xml?ContentType=application/vnd.openxmlformats-officedocument.wordprocessingml.settings+xml">
        <DigestMethod Algorithm="http://www.w3.org/2001/04/xmlenc#sha256"/>
        <DigestValue>vxhMqxUGaCo5SVc+k9+/5ZmKcPo/fNqQ/zMRZAZ+nHw=</DigestValue>
      </Reference>
      <Reference URI="/word/styles.xml?ContentType=application/vnd.openxmlformats-officedocument.wordprocessingml.styles+xml">
        <DigestMethod Algorithm="http://www.w3.org/2001/04/xmlenc#sha256"/>
        <DigestValue>b3pfpns34I7TEhF8dzWL2gwg0DH9NxY3MfBXsy1mVmY=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2020-03-26T21:29:57Z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2020-03-26T21:29:57Z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ygFo4pmX20BABNoYo/VC8s127kfjnLekxBymSfSrkh0CBAma1a4YDzIwMjAwMzI2MjEzMD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R4jgaiGdFOoZ8hroIsAnOaVWpBo=</xd:ByKey>
                  </xd:ResponderID>
                  <xd:ProducedAt>2020-03-25T19:05:16Z</xd:ProducedAt>
                </xd:OCSPIdentifier>
                <xd:DigestAlgAndValue>
                  <DigestMethod Algorithm="http://www.w3.org/2001/04/xmlenc#sha256"/>
                  <DigestValue>jVVCu8URQFH5U8zyx9CLZ/pWUUD5CyluqGIOdK64iOk=</DigestValue>
                </xd:DigestAlgAndValue>
              </xd:OCSPRef>
            </xd:OCSPRefs>
            <xd:CRLRefs>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VFSLNXeG6FuT+G9+NLPWuRg4tIgAhcwnNgjwBBNYBUCBAma1bAYDzIwMjAwMzI2MjEzMD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2020-03-26T21:43:39+00:00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que realice la publicación en el Diario Oficial La Gaceta.
Resolución ICL diario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ICL diario</Subject1>
    <_dlc_ExpireDateSaved xmlns="http://schemas.microsoft.com/sharepoint/v3" xsi:nil="true"/>
    <_dlc_ExpireDate xmlns="http://schemas.microsoft.com/sharepoint/v3" xsi:nil="true"/>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AAD9C8A0-F5FA-44AF-B9BA-5CB3EAED2665}"/>
</file>

<file path=customXml/itemProps2.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3.xml><?xml version="1.0" encoding="utf-8"?>
<ds:datastoreItem xmlns:ds="http://schemas.openxmlformats.org/officeDocument/2006/customXml" ds:itemID="{1A6FB7B0-B425-4B89-A5C1-7E9987DC47BE}">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b875e23b-67d9-4b2e-bdec-edacbf90b326"/>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70BB8AD-35C5-4AFF-ABDF-B9347E14E3B5}"/>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BA92782D-D3EF-43DE-A341-477720AF502F}">
  <ds:schemaRefs>
    <ds:schemaRef ds:uri="http://schemas.openxmlformats.org/officeDocument/2006/bibliography"/>
  </ds:schemaRefs>
</ds:datastoreItem>
</file>

<file path=customXml/itemProps7.xml><?xml version="1.0" encoding="utf-8"?>
<ds:datastoreItem xmlns:ds="http://schemas.openxmlformats.org/officeDocument/2006/customXml" ds:itemID="{0E635998-B197-4EDF-9D47-ED967D9A1242}"/>
</file>

<file path=docProps/app.xml><?xml version="1.0" encoding="utf-8"?>
<Properties xmlns="http://schemas.openxmlformats.org/officeDocument/2006/extended-properties" xmlns:vt="http://schemas.openxmlformats.org/officeDocument/2006/docPropsVTypes">
  <Template>plantillas-SGF-13-Normas</Template>
  <TotalTime>3</TotalTime>
  <Pages>3</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MARIA GABRIELA</cp:lastModifiedBy>
  <cp:revision>3</cp:revision>
  <dcterms:created xsi:type="dcterms:W3CDTF">2020-03-26T20:31:00Z</dcterms:created>
  <dcterms:modified xsi:type="dcterms:W3CDTF">2020-03-26T20:34:00Z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48400</vt:r8>
  </property>
  <property fmtid="{D5CDD505-2E9C-101B-9397-08002B2CF9AE}" pid="12" name="_dlc_policyId">
    <vt:lpwstr>0x010100E97154E09FCE6A4E8EAEBD5C54DD1AE4|-1695030217</vt:lpwstr>
  </property>
  <property fmtid="{D5CDD505-2E9C-101B-9397-08002B2CF9AE}" pid="13" name="ItemRetentionFormula">
    <vt:lpwstr/>
  </property>
  <property fmtid="{D5CDD505-2E9C-101B-9397-08002B2CF9AE}" pid="14" name="Confidencialidad">
    <vt:lpwstr>Público|99c2402f-8ec3-4ca8-8024-be52e4e7f629</vt:lpwstr>
  </property>
  <property fmtid="{D5CDD505-2E9C-101B-9397-08002B2CF9AE}" pid="15" name="WorkflowChangePath">
    <vt:lpwstr>546dfbb4-8cc0-45d4-a64c-4db3fdd3f8fe,5;ab7952a0-1ae5-4b26-8d7a-be63a467751b,8;7fbe2daa-81e7-4f6c-9374-92db082f412c,9;7fbe2daa-81e7-4f6c-9374-92db082f412c,9;</vt:lpwstr>
  </property>
  <property fmtid="{D5CDD505-2E9C-101B-9397-08002B2CF9AE}" pid="16" name="ecm_ItemDeleteBlockHolders">
    <vt:lpwstr>ecm_InPlaceRecordLock</vt:lpwstr>
  </property>
  <property fmtid="{D5CDD505-2E9C-101B-9397-08002B2CF9AE}" pid="18" name="_vti_ItemHoldRecordStatus">
    <vt:i4>273</vt:i4>
  </property>
  <property fmtid="{D5CDD505-2E9C-101B-9397-08002B2CF9AE}" pid="19" name="IconOverlay">
    <vt:lpwstr>|docx|lockoverlay.png</vt:lpwstr>
  </property>
  <property fmtid="{D5CDD505-2E9C-101B-9397-08002B2CF9AE}" pid="20" name="ecm_RecordRestrictions">
    <vt:lpwstr>BlockDelete, BlockEdit</vt:lpwstr>
  </property>
  <property fmtid="{D5CDD505-2E9C-101B-9397-08002B2CF9AE}" pid="21" name="ecm_ItemLockHolders">
    <vt:lpwstr>ecm_InPlaceRecordLock</vt:lpwstr>
  </property>
  <property fmtid="{D5CDD505-2E9C-101B-9397-08002B2CF9AE}" pid="22" name="_vti_ItemDeclaredRecord">
    <vt:filetime>2020-04-01T18:27:41Z</vt:filetime>
  </property>
  <property fmtid="{D5CDD505-2E9C-101B-9397-08002B2CF9AE}" pid="23" name="_dlc_LastRun">
    <vt:lpwstr>04/10/2020 10:54:05</vt:lpwstr>
  </property>
  <property fmtid="{D5CDD505-2E9C-101B-9397-08002B2CF9AE}" pid="24" name="_dlc_ItemStageId">
    <vt:lpwstr>1</vt:lpwstr>
  </property>
</Properties>
</file>