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B3A" w:rsidP="007D3B3A" w:rsidRDefault="007D3B3A" w14:paraId="13E16E8C" w14:textId="77777777">
      <w:pPr>
        <w:tabs>
          <w:tab w:val="left" w:pos="2843"/>
        </w:tabs>
        <w:spacing w:line="240" w:lineRule="auto"/>
        <w:jc w:val="center"/>
        <w:rPr>
          <w:b/>
          <w:sz w:val="24"/>
        </w:rPr>
      </w:pPr>
    </w:p>
    <w:p w:rsidR="007D3B3A" w:rsidP="007D3B3A" w:rsidRDefault="00886542" w14:paraId="41EB58B2" w14:textId="02965705">
      <w:pPr>
        <w:pStyle w:val="Texto"/>
        <w:spacing w:before="0" w:after="0" w:line="240" w:lineRule="auto"/>
        <w:jc w:val="center"/>
        <w:rPr>
          <w:sz w:val="24"/>
        </w:rPr>
      </w:pPr>
      <w:r>
        <w:rPr>
          <w:sz w:val="24"/>
        </w:rPr>
        <w:t>10</w:t>
      </w:r>
      <w:r w:rsidR="007D3B3A">
        <w:rPr>
          <w:sz w:val="24"/>
        </w:rPr>
        <w:t xml:space="preserve"> de marzo de 2022</w:t>
      </w:r>
    </w:p>
    <w:sdt>
      <w:sdtPr>
        <w:rPr>
          <w:sz w:val="24"/>
        </w:rPr>
        <w:alias w:val="Consecutivo"/>
        <w:tag w:val="Consecutivo"/>
        <w:id w:val="2052717023"/>
        <w:placeholder>
          <w:docPart w:val="5FDD9A204D4645D7AC3F2E51F191B5A2"/>
        </w:placeholder>
        <w:text/>
      </w:sdtPr>
      <w:sdtEndPr/>
      <w:sdtContent>
        <w:p w:rsidR="007D3B3A" w:rsidP="007D3B3A" w:rsidRDefault="007D3B3A" w14:paraId="7CB68EAF" w14:textId="77777777">
          <w:pPr>
            <w:tabs>
              <w:tab w:val="left" w:pos="2843"/>
            </w:tabs>
            <w:spacing w:line="240" w:lineRule="auto"/>
            <w:jc w:val="center"/>
            <w:rPr>
              <w:sz w:val="24"/>
            </w:rPr>
          </w:pPr>
          <w:r>
            <w:t>SGF-0479-2022</w:t>
          </w:r>
        </w:p>
      </w:sdtContent>
    </w:sdt>
    <w:p w:rsidR="007D3B3A" w:rsidP="007D3B3A" w:rsidRDefault="00886542" w14:paraId="028CD09B" w14:textId="77777777">
      <w:pPr>
        <w:tabs>
          <w:tab w:val="left" w:pos="2843"/>
        </w:tabs>
        <w:spacing w:line="240" w:lineRule="auto"/>
        <w:jc w:val="center"/>
        <w:rPr>
          <w:sz w:val="24"/>
        </w:rPr>
      </w:pPr>
      <w:sdt>
        <w:sdtPr>
          <w:rPr>
            <w:sz w:val="24"/>
          </w:rPr>
          <w:alias w:val="Confidencialidad"/>
          <w:tag w:val="Confidencialidad"/>
          <w:id w:val="1447896894"/>
          <w:placeholder>
            <w:docPart w:val="33BBF965878E473B8FF646FEF70B4F89"/>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D3B3A">
            <w:rPr>
              <w:sz w:val="24"/>
            </w:rPr>
            <w:t>SGF-PUBLICO</w:t>
          </w:r>
        </w:sdtContent>
      </w:sdt>
    </w:p>
    <w:p w:rsidR="007D3B3A" w:rsidP="007D3B3A" w:rsidRDefault="007D3B3A" w14:paraId="6F2B75B1" w14:textId="33716510">
      <w:pPr>
        <w:tabs>
          <w:tab w:val="left" w:pos="2843"/>
        </w:tabs>
        <w:spacing w:line="240" w:lineRule="auto"/>
        <w:rPr>
          <w:b/>
          <w:bCs/>
          <w:sz w:val="24"/>
        </w:rPr>
      </w:pPr>
    </w:p>
    <w:p w:rsidR="00C05DC6" w:rsidP="007D3B3A" w:rsidRDefault="00C05DC6" w14:paraId="203ED89A" w14:textId="77777777">
      <w:pPr>
        <w:tabs>
          <w:tab w:val="left" w:pos="2843"/>
        </w:tabs>
        <w:spacing w:line="240" w:lineRule="auto"/>
        <w:rPr>
          <w:b/>
          <w:bCs/>
          <w:sz w:val="24"/>
        </w:rPr>
      </w:pPr>
    </w:p>
    <w:p w:rsidRPr="00A76CC7" w:rsidR="00E40319" w:rsidP="00E40319" w:rsidRDefault="00A76CC7" w14:paraId="332A6537" w14:textId="11F92FD5">
      <w:pPr>
        <w:tabs>
          <w:tab w:val="left" w:pos="2843"/>
        </w:tabs>
        <w:spacing w:line="240" w:lineRule="auto"/>
        <w:jc w:val="center"/>
        <w:rPr>
          <w:b/>
          <w:sz w:val="28"/>
          <w:szCs w:val="28"/>
        </w:rPr>
      </w:pPr>
      <w:r w:rsidRPr="00A76CC7">
        <w:rPr>
          <w:b/>
          <w:sz w:val="28"/>
          <w:szCs w:val="28"/>
        </w:rPr>
        <w:t>Resolución de la Superintendente</w:t>
      </w:r>
    </w:p>
    <w:p w:rsidR="007D3B3A" w:rsidP="007D3B3A" w:rsidRDefault="007D3B3A" w14:paraId="714EE7A9" w14:textId="260851DB">
      <w:pPr>
        <w:tabs>
          <w:tab w:val="left" w:pos="2843"/>
        </w:tabs>
        <w:spacing w:line="240" w:lineRule="auto"/>
        <w:rPr>
          <w:b/>
          <w:bCs/>
          <w:sz w:val="24"/>
        </w:rPr>
      </w:pPr>
    </w:p>
    <w:p w:rsidR="00C05DC6" w:rsidP="007D3B3A" w:rsidRDefault="00C05DC6" w14:paraId="28390418" w14:textId="77777777">
      <w:pPr>
        <w:tabs>
          <w:tab w:val="left" w:pos="2843"/>
        </w:tabs>
        <w:spacing w:line="240" w:lineRule="auto"/>
        <w:rPr>
          <w:b/>
          <w:bCs/>
          <w:sz w:val="24"/>
        </w:rPr>
      </w:pPr>
    </w:p>
    <w:p w:rsidR="007D3B3A" w:rsidP="007D3B3A" w:rsidRDefault="007D3B3A" w14:paraId="7B1A1F93" w14:textId="77777777">
      <w:pPr>
        <w:tabs>
          <w:tab w:val="left" w:pos="2843"/>
        </w:tabs>
        <w:spacing w:line="240" w:lineRule="auto"/>
        <w:rPr>
          <w:b/>
          <w:bCs/>
          <w:sz w:val="24"/>
        </w:rPr>
      </w:pPr>
      <w:r>
        <w:rPr>
          <w:b/>
          <w:bCs/>
          <w:sz w:val="24"/>
        </w:rPr>
        <w:t xml:space="preserve">Dirigida a: </w:t>
      </w:r>
    </w:p>
    <w:p w:rsidR="007D3B3A" w:rsidP="007D3B3A" w:rsidRDefault="007D3B3A" w14:paraId="343A3ADF" w14:textId="77777777">
      <w:pPr>
        <w:tabs>
          <w:tab w:val="left" w:pos="2843"/>
        </w:tabs>
        <w:spacing w:line="240" w:lineRule="auto"/>
        <w:rPr>
          <w:b/>
          <w:bCs/>
          <w:sz w:val="24"/>
        </w:rPr>
      </w:pPr>
    </w:p>
    <w:p w:rsidR="007D3B3A" w:rsidP="007D3B3A" w:rsidRDefault="007D3B3A" w14:paraId="38F14937" w14:textId="77777777">
      <w:pPr>
        <w:pStyle w:val="Prrafodelista"/>
        <w:numPr>
          <w:ilvl w:val="0"/>
          <w:numId w:val="3"/>
        </w:numPr>
        <w:tabs>
          <w:tab w:val="left" w:pos="2843"/>
        </w:tabs>
        <w:spacing w:line="240" w:lineRule="auto"/>
        <w:jc w:val="both"/>
        <w:rPr>
          <w:rFonts w:ascii="Cambria" w:hAnsi="Cambria"/>
          <w:b/>
          <w:bCs/>
          <w:sz w:val="24"/>
        </w:rPr>
      </w:pPr>
      <w:r>
        <w:rPr>
          <w:rFonts w:ascii="Cambria" w:hAnsi="Cambria"/>
          <w:b/>
          <w:bCs/>
          <w:sz w:val="24"/>
        </w:rPr>
        <w:t>P</w:t>
      </w:r>
      <w:r w:rsidRPr="000C5795">
        <w:rPr>
          <w:rFonts w:ascii="Cambria" w:hAnsi="Cambria"/>
          <w:b/>
          <w:bCs/>
          <w:sz w:val="24"/>
        </w:rPr>
        <w:t>ersonas jurídicas, que realicen la actividad de proveedores de servicios de pago</w:t>
      </w:r>
      <w:r>
        <w:rPr>
          <w:rFonts w:ascii="Cambria" w:hAnsi="Cambria"/>
          <w:b/>
          <w:bCs/>
          <w:sz w:val="24"/>
        </w:rPr>
        <w:t>, según lo dispuesto en el artículo 6 del “</w:t>
      </w:r>
      <w:r w:rsidRPr="00705012">
        <w:rPr>
          <w:rFonts w:ascii="Cambria" w:hAnsi="Cambria"/>
          <w:b/>
          <w:bCs/>
          <w:sz w:val="24"/>
        </w:rPr>
        <w:t>Reglamento del Sistema de Pagos</w:t>
      </w:r>
      <w:r>
        <w:rPr>
          <w:rFonts w:ascii="Cambria" w:hAnsi="Cambria"/>
          <w:b/>
          <w:bCs/>
          <w:sz w:val="24"/>
        </w:rPr>
        <w:t xml:space="preserve">”, </w:t>
      </w:r>
      <w:r w:rsidRPr="00705012">
        <w:rPr>
          <w:rFonts w:ascii="Cambria" w:hAnsi="Cambria"/>
          <w:b/>
          <w:bCs/>
          <w:sz w:val="24"/>
        </w:rPr>
        <w:t>que están inscritas o pretendan inscribirse por el Artículo 15 o 15 bis de la Ley 7786.</w:t>
      </w:r>
    </w:p>
    <w:p w:rsidR="00C05DC6" w:rsidP="007D3B3A" w:rsidRDefault="00C05DC6" w14:paraId="073BEA98" w14:textId="77777777">
      <w:pPr>
        <w:tabs>
          <w:tab w:val="left" w:pos="2843"/>
        </w:tabs>
        <w:spacing w:line="240" w:lineRule="auto"/>
        <w:rPr>
          <w:sz w:val="24"/>
        </w:rPr>
      </w:pPr>
    </w:p>
    <w:p w:rsidR="007D3B3A" w:rsidP="007D3B3A" w:rsidRDefault="007D3B3A" w14:paraId="1B929268" w14:textId="2E5ED5C6">
      <w:pPr>
        <w:tabs>
          <w:tab w:val="left" w:pos="2843"/>
        </w:tabs>
        <w:spacing w:line="240" w:lineRule="auto"/>
        <w:rPr>
          <w:sz w:val="24"/>
        </w:rPr>
      </w:pPr>
      <w:r>
        <w:rPr>
          <w:sz w:val="24"/>
        </w:rPr>
        <w:tab/>
      </w:r>
    </w:p>
    <w:p w:rsidR="007D3B3A" w:rsidP="007D3B3A" w:rsidRDefault="007D3B3A" w14:paraId="610767EF" w14:textId="574D88FF">
      <w:pPr>
        <w:rPr>
          <w:b/>
          <w:sz w:val="24"/>
        </w:rPr>
      </w:pPr>
      <w:r>
        <w:rPr>
          <w:b/>
          <w:sz w:val="24"/>
        </w:rPr>
        <w:t xml:space="preserve">Asunto: </w:t>
      </w:r>
      <w:r>
        <w:rPr>
          <w:rFonts w:cs="Segoe UI"/>
          <w:b/>
          <w:color w:val="000000"/>
          <w:sz w:val="24"/>
          <w:shd w:val="clear" w:color="auto" w:fill="FFFFFF"/>
        </w:rPr>
        <w:t xml:space="preserve">Disposiciones para demostrar el cumplimiento de lo requerido en </w:t>
      </w:r>
      <w:r w:rsidRPr="00844DB3">
        <w:rPr>
          <w:rFonts w:cs="Segoe UI"/>
          <w:b/>
          <w:color w:val="000000"/>
          <w:sz w:val="24"/>
          <w:shd w:val="clear" w:color="auto" w:fill="FFFFFF"/>
        </w:rPr>
        <w:t>el artículo 6 del Reglamento del Sistema de Pagos</w:t>
      </w:r>
      <w:r w:rsidR="00E40319">
        <w:rPr>
          <w:rFonts w:cs="Segoe UI"/>
          <w:b/>
          <w:color w:val="000000"/>
          <w:sz w:val="24"/>
          <w:shd w:val="clear" w:color="auto" w:fill="FFFFFF"/>
        </w:rPr>
        <w:t xml:space="preserve"> del Banco Central de Costa Rica</w:t>
      </w:r>
      <w:r w:rsidRPr="00844DB3">
        <w:rPr>
          <w:rFonts w:cs="Segoe UI"/>
          <w:b/>
          <w:color w:val="000000"/>
          <w:sz w:val="24"/>
          <w:shd w:val="clear" w:color="auto" w:fill="FFFFFF"/>
        </w:rPr>
        <w:t xml:space="preserve">, </w:t>
      </w:r>
      <w:r>
        <w:rPr>
          <w:rFonts w:cs="Segoe UI"/>
          <w:b/>
          <w:color w:val="000000"/>
          <w:sz w:val="24"/>
          <w:shd w:val="clear" w:color="auto" w:fill="FFFFFF"/>
        </w:rPr>
        <w:t xml:space="preserve">para </w:t>
      </w:r>
      <w:r w:rsidRPr="00844DB3">
        <w:rPr>
          <w:rFonts w:cs="Segoe UI"/>
          <w:b/>
          <w:color w:val="000000"/>
          <w:sz w:val="24"/>
          <w:shd w:val="clear" w:color="auto" w:fill="FFFFFF"/>
        </w:rPr>
        <w:t xml:space="preserve">obtener la autorización que otorga el </w:t>
      </w:r>
      <w:r w:rsidR="00E40319">
        <w:rPr>
          <w:rFonts w:cs="Segoe UI"/>
          <w:b/>
          <w:color w:val="000000"/>
          <w:sz w:val="24"/>
          <w:shd w:val="clear" w:color="auto" w:fill="FFFFFF"/>
        </w:rPr>
        <w:t>BCCR</w:t>
      </w:r>
      <w:r>
        <w:rPr>
          <w:rFonts w:cs="Segoe UI"/>
          <w:b/>
          <w:color w:val="000000"/>
          <w:sz w:val="24"/>
          <w:shd w:val="clear" w:color="auto" w:fill="FFFFFF"/>
        </w:rPr>
        <w:t xml:space="preserve"> para poder operar como proveedores de servicios de pago en </w:t>
      </w:r>
      <w:r w:rsidR="00E40319">
        <w:rPr>
          <w:rFonts w:cs="Segoe UI"/>
          <w:b/>
          <w:color w:val="000000"/>
          <w:sz w:val="24"/>
          <w:shd w:val="clear" w:color="auto" w:fill="FFFFFF"/>
        </w:rPr>
        <w:t>el Sistema Nacional de Pagos Electrónicos (SINPE)</w:t>
      </w:r>
    </w:p>
    <w:p w:rsidR="007D3B3A" w:rsidP="007D3B3A" w:rsidRDefault="007D3B3A" w14:paraId="742B38F4" w14:textId="20A37EA5">
      <w:pPr>
        <w:rPr>
          <w:sz w:val="24"/>
        </w:rPr>
      </w:pPr>
    </w:p>
    <w:p w:rsidR="00C05DC6" w:rsidP="007D3B3A" w:rsidRDefault="00C05DC6" w14:paraId="3B3E46F9" w14:textId="77777777">
      <w:pPr>
        <w:rPr>
          <w:sz w:val="24"/>
        </w:rPr>
      </w:pPr>
    </w:p>
    <w:p w:rsidR="007D3B3A" w:rsidP="007D3B3A" w:rsidRDefault="007D3B3A" w14:paraId="3934CF85" w14:textId="77777777">
      <w:pPr>
        <w:rPr>
          <w:b/>
          <w:bCs/>
          <w:sz w:val="24"/>
          <w:lang w:val="es-CR"/>
        </w:rPr>
      </w:pPr>
      <w:r>
        <w:rPr>
          <w:b/>
          <w:bCs/>
          <w:sz w:val="24"/>
          <w:lang w:val="es-CR"/>
        </w:rPr>
        <w:t xml:space="preserve">La Superintendencia General de Entidades Financieras (SUGEF), </w:t>
      </w:r>
    </w:p>
    <w:p w:rsidR="007D3B3A" w:rsidP="007D3B3A" w:rsidRDefault="007D3B3A" w14:paraId="3A09E3EE" w14:textId="77777777">
      <w:pPr>
        <w:spacing w:line="240" w:lineRule="auto"/>
        <w:rPr>
          <w:sz w:val="24"/>
          <w:lang w:val="es-CR"/>
        </w:rPr>
      </w:pPr>
    </w:p>
    <w:p w:rsidR="007D3B3A" w:rsidP="007D3B3A" w:rsidRDefault="007D3B3A" w14:paraId="2879E74C" w14:textId="77777777">
      <w:pPr>
        <w:rPr>
          <w:b/>
          <w:bCs/>
          <w:sz w:val="24"/>
        </w:rPr>
      </w:pPr>
      <w:r>
        <w:rPr>
          <w:b/>
          <w:bCs/>
          <w:sz w:val="24"/>
        </w:rPr>
        <w:t xml:space="preserve">Considerando que: </w:t>
      </w:r>
    </w:p>
    <w:p w:rsidR="007D3B3A" w:rsidP="007D3B3A" w:rsidRDefault="007D3B3A" w14:paraId="67AB0D2C" w14:textId="77777777">
      <w:pPr>
        <w:rPr>
          <w:sz w:val="24"/>
        </w:rPr>
      </w:pPr>
    </w:p>
    <w:p w:rsidRPr="00A47EB6" w:rsidR="007D3B3A" w:rsidP="007D3B3A" w:rsidRDefault="007D3B3A" w14:paraId="28254487" w14:textId="77777777">
      <w:pPr>
        <w:numPr>
          <w:ilvl w:val="0"/>
          <w:numId w:val="4"/>
        </w:numPr>
        <w:spacing w:line="240" w:lineRule="auto"/>
        <w:contextualSpacing/>
        <w:rPr>
          <w:sz w:val="24"/>
        </w:rPr>
      </w:pPr>
      <w:r w:rsidRPr="00A47EB6">
        <w:rPr>
          <w:sz w:val="24"/>
        </w:rPr>
        <w:t xml:space="preserve">Mediante la Ley 9449 del 10 de mayo del 2017, la Asamblea Legislativa decretó la </w:t>
      </w:r>
      <w:r w:rsidRPr="00A47EB6">
        <w:rPr>
          <w:i/>
          <w:sz w:val="24"/>
        </w:rPr>
        <w:t>“Reforma de los artículos 15, 15 bis, 16, 81 y adición de los artículos 15 ter y 16 bis a la Ley 7786, Ley sobre estupefacientes, sustancias psicotrópicas, drogas de uso no autorizado, actividades conexas, legitimación de capitales y financiamiento al terrorismo, de 30 de abril de 1998”</w:t>
      </w:r>
      <w:r w:rsidRPr="00A47EB6">
        <w:rPr>
          <w:sz w:val="24"/>
        </w:rPr>
        <w:t>.</w:t>
      </w:r>
    </w:p>
    <w:p w:rsidRPr="00A47EB6" w:rsidR="007D3B3A" w:rsidP="007D3B3A" w:rsidRDefault="007D3B3A" w14:paraId="38C2A5F7" w14:textId="77777777">
      <w:pPr>
        <w:spacing w:line="240" w:lineRule="auto"/>
        <w:ind w:left="360"/>
        <w:contextualSpacing/>
        <w:rPr>
          <w:sz w:val="24"/>
        </w:rPr>
      </w:pPr>
    </w:p>
    <w:p w:rsidR="007D3B3A" w:rsidP="007D3B3A" w:rsidRDefault="007D3B3A" w14:paraId="1E65D40B" w14:textId="77777777">
      <w:pPr>
        <w:numPr>
          <w:ilvl w:val="0"/>
          <w:numId w:val="4"/>
        </w:numPr>
        <w:spacing w:line="240" w:lineRule="auto"/>
        <w:contextualSpacing/>
        <w:rPr>
          <w:i/>
          <w:sz w:val="24"/>
        </w:rPr>
      </w:pPr>
      <w:r w:rsidRPr="00A47EB6">
        <w:rPr>
          <w:sz w:val="24"/>
        </w:rPr>
        <w:t>Los artículos 15 y 15 bis de la Ley 7786 disponen que las personas que desempeñen las actividades allí indicadas, en adelante conocidas como APNFD (Actividades y Profesiones no Financieras Designadas),“…</w:t>
      </w:r>
      <w:r w:rsidRPr="00A47EB6">
        <w:rPr>
          <w:i/>
          <w:sz w:val="24"/>
        </w:rPr>
        <w:t xml:space="preserve">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w:t>
      </w:r>
      <w:proofErr w:type="spellStart"/>
      <w:r w:rsidRPr="00A47EB6">
        <w:rPr>
          <w:i/>
          <w:sz w:val="24"/>
        </w:rPr>
        <w:t>Conassif</w:t>
      </w:r>
      <w:proofErr w:type="spellEnd"/>
      <w:r w:rsidRPr="00A47EB6">
        <w:rPr>
          <w:i/>
          <w:sz w:val="24"/>
        </w:rPr>
        <w:t xml:space="preserve"> mediante normativa prudencial de acuerdo con la realidad de cada sector...”.</w:t>
      </w:r>
    </w:p>
    <w:p w:rsidRPr="00A47EB6" w:rsidR="007D3B3A" w:rsidP="007D3B3A" w:rsidRDefault="007D3B3A" w14:paraId="16AC1BD5" w14:textId="77777777">
      <w:pPr>
        <w:pStyle w:val="Prrafodelista"/>
        <w:numPr>
          <w:ilvl w:val="0"/>
          <w:numId w:val="4"/>
        </w:numPr>
        <w:spacing w:after="0" w:line="240" w:lineRule="auto"/>
        <w:contextualSpacing w:val="0"/>
        <w:jc w:val="both"/>
        <w:rPr>
          <w:rFonts w:ascii="Cambria" w:hAnsi="Cambria"/>
          <w:sz w:val="24"/>
          <w:szCs w:val="24"/>
        </w:rPr>
      </w:pPr>
      <w:r>
        <w:rPr>
          <w:rFonts w:ascii="Cambria" w:hAnsi="Cambria"/>
          <w:sz w:val="24"/>
          <w:szCs w:val="24"/>
          <w:lang w:val="es-ES"/>
        </w:rPr>
        <w:lastRenderedPageBreak/>
        <w:t>E</w:t>
      </w:r>
      <w:r w:rsidRPr="00A47EB6">
        <w:rPr>
          <w:rFonts w:ascii="Cambria" w:hAnsi="Cambria"/>
          <w:sz w:val="24"/>
          <w:szCs w:val="24"/>
        </w:rPr>
        <w:t xml:space="preserve">n </w:t>
      </w:r>
      <w:r>
        <w:rPr>
          <w:rFonts w:ascii="Cambria" w:hAnsi="Cambria"/>
          <w:sz w:val="24"/>
          <w:szCs w:val="24"/>
        </w:rPr>
        <w:t xml:space="preserve">el </w:t>
      </w:r>
      <w:r w:rsidRPr="00A47EB6">
        <w:rPr>
          <w:rFonts w:ascii="Cambria" w:hAnsi="Cambria"/>
          <w:sz w:val="24"/>
          <w:szCs w:val="24"/>
        </w:rPr>
        <w:t>Acuerdo SUGEF 11-18 “</w:t>
      </w:r>
      <w:r w:rsidRPr="00A47EB6">
        <w:rPr>
          <w:rFonts w:ascii="Cambria" w:hAnsi="Cambria"/>
          <w:i/>
          <w:iCs/>
          <w:sz w:val="24"/>
          <w:szCs w:val="24"/>
        </w:rPr>
        <w:t>Reglamento para la inscripción y desinscripción ante la SUGEF de los sujetos obligados que realizan alguna o algunas de las actividades descritas en los  en los artículos 15 y 15 bis de la Ley sobre Estupefacientes, Sustancias Psicotrópicas, Drogas de Uso no Autorizado, Actividades Conexas, Legitimación de Capitales y Financiamiento al Terrorismo, Ley 7786”</w:t>
      </w:r>
      <w:r w:rsidRPr="00A47EB6">
        <w:rPr>
          <w:rFonts w:ascii="Cambria" w:hAnsi="Cambria"/>
          <w:sz w:val="24"/>
          <w:szCs w:val="24"/>
        </w:rPr>
        <w:t xml:space="preserve"> publicado en el diario oficial La Gaceta N°213 del 16 de noviembre de 2018</w:t>
      </w:r>
      <w:r>
        <w:rPr>
          <w:rFonts w:ascii="Cambria" w:hAnsi="Cambria"/>
          <w:sz w:val="24"/>
          <w:szCs w:val="24"/>
        </w:rPr>
        <w:t>,</w:t>
      </w:r>
      <w:r w:rsidRPr="00A47EB6">
        <w:rPr>
          <w:rFonts w:ascii="Cambria" w:hAnsi="Cambria"/>
          <w:sz w:val="24"/>
          <w:szCs w:val="24"/>
        </w:rPr>
        <w:t xml:space="preserve"> se establece en el artículo 25 que “</w:t>
      </w:r>
      <w:r w:rsidRPr="00A47EB6">
        <w:rPr>
          <w:rFonts w:ascii="Cambria" w:hAnsi="Cambria"/>
          <w:i/>
          <w:sz w:val="24"/>
          <w:szCs w:val="24"/>
        </w:rPr>
        <w:t>Los sujetos inscritos por los artículos 15 y 15 bis de la Ley 7786 deben cumplir en todos sus extremos con lo dispuesto en esta Ley y sus Reglamentos, así como con la normativa aprobada por el CONASSIF en relación con la citada Ley.”</w:t>
      </w:r>
      <w:r w:rsidRPr="00A47EB6">
        <w:rPr>
          <w:rFonts w:ascii="Cambria" w:hAnsi="Cambria"/>
          <w:sz w:val="24"/>
          <w:szCs w:val="24"/>
        </w:rPr>
        <w:t xml:space="preserve"> </w:t>
      </w:r>
    </w:p>
    <w:p w:rsidR="007D3B3A" w:rsidP="007D3B3A" w:rsidRDefault="007D3B3A" w14:paraId="63B47E57" w14:textId="77777777">
      <w:pPr>
        <w:spacing w:line="240" w:lineRule="auto"/>
        <w:ind w:left="360"/>
        <w:contextualSpacing/>
        <w:rPr>
          <w:sz w:val="24"/>
        </w:rPr>
      </w:pPr>
    </w:p>
    <w:p w:rsidRPr="00A47EB6" w:rsidR="007D3B3A" w:rsidP="007D3B3A" w:rsidRDefault="007D3B3A" w14:paraId="1E5FB6C9" w14:textId="77777777">
      <w:pPr>
        <w:numPr>
          <w:ilvl w:val="0"/>
          <w:numId w:val="4"/>
        </w:numPr>
        <w:spacing w:line="240" w:lineRule="auto"/>
        <w:contextualSpacing/>
        <w:rPr>
          <w:sz w:val="24"/>
        </w:rPr>
      </w:pPr>
      <w:r w:rsidRPr="00A47EB6">
        <w:rPr>
          <w:sz w:val="24"/>
        </w:rPr>
        <w:t>El 19 de noviembre de 2019 en el Alcance 258 de la Gaceta 220 se publicó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rsidR="007D3B3A" w:rsidP="007D3B3A" w:rsidRDefault="007D3B3A" w14:paraId="58F3F511" w14:textId="77777777">
      <w:pPr>
        <w:pStyle w:val="Prrafodelista"/>
        <w:spacing w:after="0" w:line="240" w:lineRule="auto"/>
        <w:ind w:left="360"/>
        <w:contextualSpacing w:val="0"/>
        <w:jc w:val="both"/>
        <w:rPr>
          <w:rFonts w:ascii="Cambria" w:hAnsi="Cambria"/>
          <w:sz w:val="24"/>
          <w:szCs w:val="24"/>
        </w:rPr>
      </w:pPr>
    </w:p>
    <w:p w:rsidRPr="00A47EB6" w:rsidR="007D3B3A" w:rsidP="007D3B3A" w:rsidRDefault="007D3B3A" w14:paraId="220D61EC" w14:textId="62C3DCB0">
      <w:pPr>
        <w:pStyle w:val="Prrafodelista"/>
        <w:numPr>
          <w:ilvl w:val="0"/>
          <w:numId w:val="4"/>
        </w:numPr>
        <w:spacing w:after="0" w:line="240" w:lineRule="auto"/>
        <w:contextualSpacing w:val="0"/>
        <w:jc w:val="both"/>
        <w:rPr>
          <w:rFonts w:ascii="Cambria" w:hAnsi="Cambria"/>
          <w:sz w:val="24"/>
          <w:szCs w:val="24"/>
        </w:rPr>
      </w:pPr>
      <w:r w:rsidRPr="00A47EB6">
        <w:rPr>
          <w:rFonts w:ascii="Cambria" w:hAnsi="Cambria"/>
          <w:sz w:val="24"/>
          <w:szCs w:val="24"/>
        </w:rPr>
        <w:t>El 13 de agosto de 2021 en el Alcance 159 a La Gaceta 155 se publicó la última modificación del Reglamento del Sistema de Pagos</w:t>
      </w:r>
      <w:r w:rsidR="003F1BE5">
        <w:rPr>
          <w:rFonts w:ascii="Cambria" w:hAnsi="Cambria"/>
          <w:sz w:val="24"/>
          <w:szCs w:val="24"/>
        </w:rPr>
        <w:t xml:space="preserve"> del Banco Central de Costa Rica</w:t>
      </w:r>
      <w:r w:rsidRPr="00A47EB6">
        <w:rPr>
          <w:rFonts w:ascii="Cambria" w:hAnsi="Cambria"/>
          <w:sz w:val="24"/>
          <w:szCs w:val="24"/>
        </w:rPr>
        <w:t>.</w:t>
      </w:r>
    </w:p>
    <w:p w:rsidRPr="00A47EB6" w:rsidR="007D3B3A" w:rsidP="007D3B3A" w:rsidRDefault="007D3B3A" w14:paraId="76725EEB" w14:textId="77777777">
      <w:pPr>
        <w:pStyle w:val="Prrafodelista"/>
        <w:rPr>
          <w:rFonts w:ascii="Cambria" w:hAnsi="Cambria"/>
          <w:sz w:val="24"/>
          <w:szCs w:val="24"/>
        </w:rPr>
      </w:pPr>
    </w:p>
    <w:p w:rsidR="007D3B3A" w:rsidP="007D3B3A" w:rsidRDefault="007D3B3A" w14:paraId="1CB04274" w14:textId="77777777">
      <w:pPr>
        <w:pStyle w:val="Prrafodelista"/>
        <w:numPr>
          <w:ilvl w:val="0"/>
          <w:numId w:val="4"/>
        </w:numPr>
        <w:spacing w:after="0" w:line="240" w:lineRule="auto"/>
        <w:contextualSpacing w:val="0"/>
        <w:jc w:val="both"/>
        <w:rPr>
          <w:rFonts w:ascii="Cambria" w:hAnsi="Cambria"/>
          <w:sz w:val="24"/>
          <w:szCs w:val="24"/>
        </w:rPr>
      </w:pPr>
      <w:r w:rsidRPr="00A47EB6">
        <w:rPr>
          <w:rFonts w:ascii="Cambria" w:hAnsi="Cambria"/>
          <w:sz w:val="24"/>
          <w:szCs w:val="24"/>
        </w:rPr>
        <w:t>El artículo 6 de</w:t>
      </w:r>
      <w:r>
        <w:rPr>
          <w:rFonts w:ascii="Cambria" w:hAnsi="Cambria"/>
          <w:sz w:val="24"/>
          <w:szCs w:val="24"/>
        </w:rPr>
        <w:t xml:space="preserve"> dicho </w:t>
      </w:r>
      <w:r w:rsidRPr="00A47EB6">
        <w:rPr>
          <w:rFonts w:ascii="Cambria" w:hAnsi="Cambria"/>
          <w:sz w:val="24"/>
          <w:szCs w:val="24"/>
        </w:rPr>
        <w:t xml:space="preserve">Reglamento de Pagos indica: </w:t>
      </w:r>
    </w:p>
    <w:p w:rsidRPr="00335262" w:rsidR="007D3B3A" w:rsidP="007D3B3A" w:rsidRDefault="007D3B3A" w14:paraId="30F210F7" w14:textId="77777777">
      <w:pPr>
        <w:pStyle w:val="Prrafodelista"/>
        <w:rPr>
          <w:rFonts w:ascii="Cambria" w:hAnsi="Cambria"/>
          <w:sz w:val="24"/>
          <w:szCs w:val="24"/>
        </w:rPr>
      </w:pPr>
    </w:p>
    <w:p w:rsidR="007D3B3A" w:rsidP="007D3B3A" w:rsidRDefault="007D3B3A" w14:paraId="5181AFBE" w14:textId="77777777">
      <w:pPr>
        <w:pStyle w:val="Prrafodelista"/>
        <w:jc w:val="both"/>
        <w:rPr>
          <w:rFonts w:ascii="Cambria" w:hAnsi="Cambria"/>
          <w:i/>
          <w:iCs/>
          <w:sz w:val="24"/>
          <w:szCs w:val="24"/>
        </w:rPr>
      </w:pPr>
      <w:r w:rsidRPr="00A47EB6">
        <w:rPr>
          <w:rFonts w:ascii="Cambria" w:hAnsi="Cambria"/>
          <w:i/>
          <w:iCs/>
          <w:sz w:val="24"/>
          <w:szCs w:val="24"/>
        </w:rPr>
        <w:t xml:space="preserve">Artículo 6. Proveedores de servicios de pago. Se refiere a las empresas jurídicas nacionales que realizan actividades de transferencias de fondos, remesas, pagos y cobros a comercios o cualquier otra actividad que requiera la movilización de fondos propios o de terceros, siempre que cumplan con las regulaciones nacionales vigentes en materia de prevención de legitimación de capitales y financiamiento al terrorismo, protección de datos y cualquier otra legislación aplicable a los servicios ofrecidos. </w:t>
      </w:r>
    </w:p>
    <w:p w:rsidR="007D3B3A" w:rsidP="007D3B3A" w:rsidRDefault="007D3B3A" w14:paraId="773FE7F5" w14:textId="77777777">
      <w:pPr>
        <w:pStyle w:val="Prrafodelista"/>
        <w:jc w:val="both"/>
        <w:rPr>
          <w:rFonts w:ascii="Cambria" w:hAnsi="Cambria"/>
          <w:i/>
          <w:iCs/>
          <w:sz w:val="24"/>
          <w:szCs w:val="24"/>
        </w:rPr>
      </w:pPr>
    </w:p>
    <w:p w:rsidR="007D3B3A" w:rsidP="007D3B3A" w:rsidRDefault="007D3B3A" w14:paraId="69B29D55" w14:textId="1575AB6D">
      <w:pPr>
        <w:pStyle w:val="Prrafodelista"/>
        <w:jc w:val="both"/>
        <w:rPr>
          <w:rFonts w:ascii="Cambria" w:hAnsi="Cambria"/>
          <w:i/>
          <w:iCs/>
          <w:sz w:val="24"/>
          <w:szCs w:val="24"/>
        </w:rPr>
      </w:pPr>
      <w:r w:rsidRPr="00A47EB6">
        <w:rPr>
          <w:rFonts w:ascii="Cambria" w:hAnsi="Cambria"/>
          <w:i/>
          <w:iCs/>
          <w:sz w:val="24"/>
          <w:szCs w:val="24"/>
        </w:rPr>
        <w:t>Estas empresas deberán estar inscritos ante la SUGEF para efecto de cumplir con lo establecido en el artículo 15 y artículo 15 bis de la Ley 7786, además, esta Superintendencia deberá comunicar al BCCR que dichos sujetos obligados cuentan con adecuados marcos de gobierno corporativo para gestionar los riesgos asociados a la prevención de la legitimación de capitales y que cuentan con plataformas robustas para salvaguardar la información de los usuarios de los servicios financieros que utilizan los servicios de pago de esos sujetos obligados. Lo anterior es una condición necesaria para que el BCCR otorgue la autorización de proveedor de servicios de pago.</w:t>
      </w:r>
    </w:p>
    <w:p w:rsidRPr="00A47EB6" w:rsidR="007D3B3A" w:rsidP="007D3B3A" w:rsidRDefault="007D3B3A" w14:paraId="4386E656" w14:textId="77777777">
      <w:pPr>
        <w:pStyle w:val="Prrafodelista"/>
        <w:jc w:val="both"/>
        <w:rPr>
          <w:rFonts w:ascii="Cambria" w:hAnsi="Cambria"/>
          <w:i/>
          <w:iCs/>
          <w:sz w:val="24"/>
          <w:szCs w:val="24"/>
        </w:rPr>
      </w:pPr>
    </w:p>
    <w:p w:rsidR="007D3B3A" w:rsidP="007D3B3A" w:rsidRDefault="007D3B3A" w14:paraId="293F453D" w14:textId="77777777">
      <w:pPr>
        <w:pStyle w:val="Prrafodelista"/>
        <w:jc w:val="both"/>
        <w:rPr>
          <w:rFonts w:ascii="Cambria" w:hAnsi="Cambria"/>
          <w:i/>
          <w:iCs/>
          <w:sz w:val="24"/>
          <w:szCs w:val="24"/>
        </w:rPr>
      </w:pPr>
      <w:r w:rsidRPr="00A47EB6">
        <w:rPr>
          <w:rFonts w:ascii="Cambria" w:hAnsi="Cambria"/>
          <w:i/>
          <w:iCs/>
          <w:sz w:val="24"/>
          <w:szCs w:val="24"/>
        </w:rPr>
        <w:t xml:space="preserve">Los proveedores de servicios de pago deberán suministrar a la División Sistemas de Pago información relacionada con el tipo de servicio, canales e instrumentos de pago que ofrecerá a sus clientes, nicho de mercado al que se dirige, esquema de </w:t>
      </w:r>
      <w:r w:rsidRPr="00A47EB6">
        <w:rPr>
          <w:rFonts w:ascii="Cambria" w:hAnsi="Cambria"/>
          <w:i/>
          <w:iCs/>
          <w:sz w:val="24"/>
          <w:szCs w:val="24"/>
        </w:rPr>
        <w:lastRenderedPageBreak/>
        <w:t xml:space="preserve">operación, controles y medidas de seguridad a implementar, esquemas de continuidad del negocio, estadísticas transaccionales y otros datos de interés desde la perspectiva del desarrollo del sistema de pago, según lo especificado en la Serie de Normas y Procedimientos del SINPE. En caso de que producto de su giro de negocio, administren cuentas de fondos, deberán asignarles a estas, un número de cuenta IBAN y registrarlas en el Padrón Único de Cuentas (PUC), cumpliendo con los requerimientos definidos en la Serie de Normas y Procedimientos del SINPE. </w:t>
      </w:r>
    </w:p>
    <w:p w:rsidR="007D3B3A" w:rsidP="007D3B3A" w:rsidRDefault="007D3B3A" w14:paraId="7B500063" w14:textId="77777777">
      <w:pPr>
        <w:pStyle w:val="Prrafodelista"/>
        <w:jc w:val="both"/>
        <w:rPr>
          <w:rFonts w:ascii="Cambria" w:hAnsi="Cambria"/>
          <w:i/>
          <w:iCs/>
          <w:sz w:val="24"/>
          <w:szCs w:val="24"/>
        </w:rPr>
      </w:pPr>
    </w:p>
    <w:p w:rsidRPr="00A47EB6" w:rsidR="007D3B3A" w:rsidP="007D3B3A" w:rsidRDefault="007D3B3A" w14:paraId="472BBDE4" w14:textId="77777777">
      <w:pPr>
        <w:pStyle w:val="Prrafodelista"/>
        <w:jc w:val="both"/>
        <w:rPr>
          <w:rFonts w:ascii="Cambria" w:hAnsi="Cambria"/>
          <w:i/>
          <w:iCs/>
          <w:sz w:val="24"/>
          <w:szCs w:val="24"/>
        </w:rPr>
      </w:pPr>
      <w:r w:rsidRPr="00A47EB6">
        <w:rPr>
          <w:rFonts w:ascii="Cambria" w:hAnsi="Cambria"/>
          <w:i/>
          <w:iCs/>
          <w:sz w:val="24"/>
          <w:szCs w:val="24"/>
        </w:rPr>
        <w:t>Asimismo, deberán indicar al BCCR los mecanismos y procedimientos para la publicidad y ofrecimiento de sus productos a los usuarios de sus servicios, lo anterior para garantizar transparencia y claridad.</w:t>
      </w:r>
    </w:p>
    <w:p w:rsidRPr="00A47EB6" w:rsidR="007D3B3A" w:rsidP="007D3B3A" w:rsidRDefault="007D3B3A" w14:paraId="7420AB44" w14:textId="77777777">
      <w:pPr>
        <w:pStyle w:val="Prrafodelista"/>
        <w:jc w:val="both"/>
        <w:rPr>
          <w:rFonts w:ascii="Cambria" w:hAnsi="Cambria"/>
          <w:i/>
          <w:iCs/>
          <w:sz w:val="24"/>
          <w:szCs w:val="24"/>
        </w:rPr>
      </w:pPr>
    </w:p>
    <w:p w:rsidRPr="00335262" w:rsidR="007D3B3A" w:rsidP="007D3B3A" w:rsidRDefault="007D3B3A" w14:paraId="24574EEF" w14:textId="5E3E413F">
      <w:pPr>
        <w:pStyle w:val="Prrafodelista"/>
        <w:numPr>
          <w:ilvl w:val="0"/>
          <w:numId w:val="4"/>
        </w:numPr>
        <w:spacing w:after="0" w:line="240" w:lineRule="auto"/>
        <w:contextualSpacing w:val="0"/>
        <w:jc w:val="both"/>
        <w:rPr>
          <w:rFonts w:ascii="Cambria" w:hAnsi="Cambria"/>
          <w:b/>
          <w:sz w:val="24"/>
          <w:szCs w:val="24"/>
        </w:rPr>
      </w:pPr>
      <w:r>
        <w:rPr>
          <w:rFonts w:ascii="Cambria" w:hAnsi="Cambria"/>
          <w:bCs/>
          <w:sz w:val="24"/>
          <w:szCs w:val="24"/>
        </w:rPr>
        <w:t>E</w:t>
      </w:r>
      <w:r w:rsidRPr="00A47EB6">
        <w:rPr>
          <w:rFonts w:ascii="Cambria" w:hAnsi="Cambria"/>
          <w:bCs/>
          <w:sz w:val="24"/>
          <w:szCs w:val="24"/>
        </w:rPr>
        <w:t>l</w:t>
      </w:r>
      <w:r w:rsidRPr="00A47EB6">
        <w:rPr>
          <w:rFonts w:ascii="Cambria" w:hAnsi="Cambria"/>
          <w:sz w:val="24"/>
          <w:szCs w:val="24"/>
        </w:rPr>
        <w:t xml:space="preserve"> Reglamento </w:t>
      </w:r>
      <w:r>
        <w:rPr>
          <w:rFonts w:ascii="Cambria" w:hAnsi="Cambria"/>
          <w:sz w:val="24"/>
          <w:szCs w:val="24"/>
        </w:rPr>
        <w:t xml:space="preserve">de Inscripción Acuerdo </w:t>
      </w:r>
      <w:r w:rsidRPr="00A47EB6">
        <w:rPr>
          <w:rFonts w:ascii="Cambria" w:hAnsi="Cambria"/>
          <w:sz w:val="24"/>
          <w:szCs w:val="24"/>
        </w:rPr>
        <w:t>SUGEF 11-18 en el</w:t>
      </w:r>
      <w:r w:rsidRPr="00A47EB6">
        <w:rPr>
          <w:rFonts w:ascii="Cambria" w:hAnsi="Cambria"/>
          <w:bCs/>
          <w:sz w:val="24"/>
          <w:szCs w:val="24"/>
        </w:rPr>
        <w:t xml:space="preserve"> artículo 14</w:t>
      </w:r>
      <w:r w:rsidR="00B17FC6">
        <w:rPr>
          <w:rFonts w:ascii="Cambria" w:hAnsi="Cambria"/>
          <w:bCs/>
          <w:sz w:val="24"/>
          <w:szCs w:val="24"/>
        </w:rPr>
        <w:t>,</w:t>
      </w:r>
      <w:r w:rsidRPr="00A47EB6">
        <w:rPr>
          <w:rFonts w:ascii="Cambria" w:hAnsi="Cambria"/>
          <w:bCs/>
          <w:sz w:val="24"/>
          <w:szCs w:val="24"/>
        </w:rPr>
        <w:t xml:space="preserve"> define las causas de suspensión de los sujetos obligados, entre ellas las siguientes:</w:t>
      </w:r>
    </w:p>
    <w:p w:rsidRPr="00A47EB6" w:rsidR="007D3B3A" w:rsidP="007D3B3A" w:rsidRDefault="007D3B3A" w14:paraId="447BEAC9" w14:textId="77777777">
      <w:pPr>
        <w:pStyle w:val="Prrafodelista"/>
        <w:spacing w:after="0" w:line="240" w:lineRule="auto"/>
        <w:ind w:left="360"/>
        <w:contextualSpacing w:val="0"/>
        <w:jc w:val="both"/>
        <w:rPr>
          <w:rFonts w:ascii="Cambria" w:hAnsi="Cambria"/>
          <w:b/>
          <w:sz w:val="24"/>
          <w:szCs w:val="24"/>
        </w:rPr>
      </w:pPr>
    </w:p>
    <w:p w:rsidRPr="00A47EB6" w:rsidR="007D3B3A" w:rsidP="007D3B3A" w:rsidRDefault="007D3B3A" w14:paraId="60EAF131" w14:textId="77777777">
      <w:pPr>
        <w:ind w:left="708"/>
        <w:rPr>
          <w:i/>
          <w:iCs/>
          <w:sz w:val="24"/>
        </w:rPr>
      </w:pPr>
      <w:r w:rsidRPr="00A47EB6">
        <w:rPr>
          <w:i/>
          <w:iCs/>
          <w:sz w:val="24"/>
        </w:rPr>
        <w:t>b) Cuando el sujeto obligado no entregue a la SUGEF cualquier información adicional o aclaratoria que le sea requerida, relacionada con la actividad o actividades por las que fue inscrito, en la forma y en los plazos en que la SUGEF, este Reglamento, o el ordenamiento jurídico lo determine.</w:t>
      </w:r>
    </w:p>
    <w:p w:rsidR="007D3B3A" w:rsidP="007D3B3A" w:rsidRDefault="007D3B3A" w14:paraId="3033CC47" w14:textId="77777777">
      <w:pPr>
        <w:ind w:left="708"/>
        <w:rPr>
          <w:i/>
          <w:iCs/>
          <w:sz w:val="24"/>
        </w:rPr>
      </w:pPr>
    </w:p>
    <w:p w:rsidR="007D3B3A" w:rsidP="007D3B3A" w:rsidRDefault="007D3B3A" w14:paraId="4E3093B6" w14:textId="77777777">
      <w:pPr>
        <w:ind w:left="708"/>
        <w:rPr>
          <w:i/>
          <w:iCs/>
          <w:sz w:val="24"/>
        </w:rPr>
      </w:pPr>
      <w:r w:rsidRPr="00A47EB6">
        <w:rPr>
          <w:i/>
          <w:iCs/>
          <w:sz w:val="24"/>
        </w:rPr>
        <w:t>f) Cuando por verificación de la SUGEF se constate que la información y/o documentación suministrada no es coincidente con la información declarada y suministrada.</w:t>
      </w:r>
    </w:p>
    <w:p w:rsidRPr="00A47EB6" w:rsidR="007D3B3A" w:rsidP="007D3B3A" w:rsidRDefault="007D3B3A" w14:paraId="389F97BE" w14:textId="77777777">
      <w:pPr>
        <w:ind w:left="708"/>
        <w:rPr>
          <w:i/>
          <w:iCs/>
          <w:sz w:val="24"/>
        </w:rPr>
      </w:pPr>
    </w:p>
    <w:p w:rsidRPr="00A47EB6" w:rsidR="007D3B3A" w:rsidP="007D3B3A" w:rsidRDefault="007D3B3A" w14:paraId="5D8D19B5" w14:textId="77777777">
      <w:pPr>
        <w:pStyle w:val="Prrafodelista"/>
        <w:numPr>
          <w:ilvl w:val="0"/>
          <w:numId w:val="4"/>
        </w:numPr>
        <w:spacing w:after="0" w:line="240" w:lineRule="auto"/>
        <w:contextualSpacing w:val="0"/>
        <w:jc w:val="both"/>
        <w:rPr>
          <w:rFonts w:ascii="Cambria" w:hAnsi="Cambria"/>
          <w:i/>
          <w:iCs/>
          <w:sz w:val="24"/>
          <w:szCs w:val="24"/>
        </w:rPr>
      </w:pPr>
      <w:r>
        <w:rPr>
          <w:rFonts w:ascii="Cambria" w:hAnsi="Cambria"/>
          <w:i/>
          <w:iCs/>
          <w:sz w:val="24"/>
          <w:szCs w:val="24"/>
        </w:rPr>
        <w:t>E</w:t>
      </w:r>
      <w:r w:rsidRPr="00A47EB6">
        <w:rPr>
          <w:rFonts w:ascii="Cambria" w:hAnsi="Cambria"/>
          <w:i/>
          <w:iCs/>
          <w:sz w:val="24"/>
          <w:szCs w:val="24"/>
        </w:rPr>
        <w:t>l estado "suspendido" es una medida precautoria que se mantendrá publicado en el sitio web de la SUGEF, hasta tanto el sujeto obligado subsane el incumplimiento, o se notifique la revocación de la inscripción. Este estado se podrá mantener, si la causal de la suspensión genera el inicio de un procedimiento administrativo tendiente a la revocación de la inscripción.</w:t>
      </w:r>
    </w:p>
    <w:p w:rsidR="007D3B3A" w:rsidP="007D3B3A" w:rsidRDefault="007D3B3A" w14:paraId="09200BC0" w14:textId="155A0720">
      <w:pPr>
        <w:rPr>
          <w:b/>
          <w:bCs/>
          <w:sz w:val="24"/>
        </w:rPr>
      </w:pPr>
    </w:p>
    <w:p w:rsidR="00B17FC6" w:rsidP="007D3B3A" w:rsidRDefault="00B17FC6" w14:paraId="39D0060E" w14:textId="77777777">
      <w:pPr>
        <w:rPr>
          <w:b/>
          <w:bCs/>
          <w:sz w:val="24"/>
        </w:rPr>
      </w:pPr>
    </w:p>
    <w:p w:rsidR="007D3B3A" w:rsidP="007D3B3A" w:rsidRDefault="007D3B3A" w14:paraId="27BA8260" w14:textId="77777777">
      <w:pPr>
        <w:rPr>
          <w:b/>
          <w:bCs/>
          <w:sz w:val="24"/>
        </w:rPr>
      </w:pPr>
      <w:r w:rsidRPr="00A47EB6">
        <w:rPr>
          <w:b/>
          <w:bCs/>
          <w:sz w:val="24"/>
        </w:rPr>
        <w:t>Dispone:</w:t>
      </w:r>
    </w:p>
    <w:p w:rsidRPr="00A47EB6" w:rsidR="007D3B3A" w:rsidP="007D3B3A" w:rsidRDefault="007D3B3A" w14:paraId="39285CDD" w14:textId="77777777">
      <w:pPr>
        <w:rPr>
          <w:b/>
          <w:bCs/>
          <w:sz w:val="24"/>
        </w:rPr>
      </w:pPr>
    </w:p>
    <w:p w:rsidR="007D3B3A" w:rsidP="007D3B3A" w:rsidRDefault="007D3B3A" w14:paraId="5C7F68C5" w14:textId="5EBDECF4">
      <w:pPr>
        <w:pStyle w:val="Prrafodelista"/>
        <w:numPr>
          <w:ilvl w:val="0"/>
          <w:numId w:val="5"/>
        </w:numPr>
        <w:ind w:left="567" w:hanging="207"/>
        <w:jc w:val="both"/>
        <w:rPr>
          <w:rFonts w:ascii="Cambria" w:hAnsi="Cambria"/>
          <w:sz w:val="24"/>
          <w:szCs w:val="24"/>
        </w:rPr>
      </w:pPr>
      <w:bookmarkStart w:name="_Hlk95298393" w:id="0"/>
      <w:r w:rsidRPr="007856E8">
        <w:rPr>
          <w:rFonts w:ascii="Cambria" w:hAnsi="Cambria"/>
          <w:sz w:val="24"/>
          <w:szCs w:val="24"/>
        </w:rPr>
        <w:t xml:space="preserve">Comunicar a todas las </w:t>
      </w:r>
      <w:bookmarkStart w:name="_Hlk95298416" w:id="1"/>
      <w:r w:rsidRPr="007856E8">
        <w:rPr>
          <w:rFonts w:ascii="Cambria" w:hAnsi="Cambria"/>
          <w:sz w:val="24"/>
          <w:szCs w:val="24"/>
        </w:rPr>
        <w:t>personas jurídicas, que realicen la actividad de proveedores de servicios de pago</w:t>
      </w:r>
      <w:bookmarkEnd w:id="0"/>
      <w:bookmarkEnd w:id="1"/>
      <w:r w:rsidRPr="003334EB">
        <w:rPr>
          <w:rFonts w:ascii="Cambria" w:hAnsi="Cambria"/>
          <w:sz w:val="24"/>
          <w:szCs w:val="24"/>
        </w:rPr>
        <w:t>, según lo dispuesto en el art</w:t>
      </w:r>
      <w:r>
        <w:rPr>
          <w:rFonts w:ascii="Cambria" w:hAnsi="Cambria"/>
          <w:sz w:val="24"/>
          <w:szCs w:val="24"/>
        </w:rPr>
        <w:t xml:space="preserve">ículo </w:t>
      </w:r>
      <w:r w:rsidRPr="003334EB">
        <w:rPr>
          <w:rFonts w:ascii="Cambria" w:hAnsi="Cambria"/>
          <w:sz w:val="24"/>
          <w:szCs w:val="24"/>
        </w:rPr>
        <w:t>6 del Reglamento del Sistema de Pagos,</w:t>
      </w:r>
      <w:r w:rsidRPr="007856E8">
        <w:rPr>
          <w:rFonts w:ascii="Cambria" w:hAnsi="Cambria"/>
          <w:sz w:val="24"/>
          <w:szCs w:val="24"/>
        </w:rPr>
        <w:t xml:space="preserve"> que estén interesados en obtener la autorización que otorga el Banco Central de Costa Rica</w:t>
      </w:r>
      <w:r w:rsidR="00C05DC6">
        <w:rPr>
          <w:rFonts w:ascii="Cambria" w:hAnsi="Cambria"/>
          <w:sz w:val="24"/>
          <w:szCs w:val="24"/>
        </w:rPr>
        <w:t xml:space="preserve"> </w:t>
      </w:r>
      <w:r w:rsidRPr="00C05DC6" w:rsidR="00C05DC6">
        <w:rPr>
          <w:rFonts w:ascii="Cambria" w:hAnsi="Cambria"/>
          <w:sz w:val="24"/>
          <w:szCs w:val="24"/>
        </w:rPr>
        <w:t>para poder operar como proveedores de servicios de pago en el Sistema Nacional de Pagos Electrónicos (SINPE</w:t>
      </w:r>
      <w:r w:rsidR="00C05DC6">
        <w:rPr>
          <w:rFonts w:ascii="Cambria" w:hAnsi="Cambria"/>
          <w:sz w:val="24"/>
          <w:szCs w:val="24"/>
        </w:rPr>
        <w:t>)</w:t>
      </w:r>
      <w:r w:rsidRPr="007856E8">
        <w:rPr>
          <w:rFonts w:ascii="Cambria" w:hAnsi="Cambria"/>
          <w:sz w:val="24"/>
          <w:szCs w:val="24"/>
        </w:rPr>
        <w:t xml:space="preserve">, que, para cumplir con el requisito indicado en el artículo señalado, deberán remitir a </w:t>
      </w:r>
      <w:r>
        <w:rPr>
          <w:rFonts w:ascii="Cambria" w:hAnsi="Cambria"/>
          <w:sz w:val="24"/>
          <w:szCs w:val="24"/>
        </w:rPr>
        <w:t>esta</w:t>
      </w:r>
      <w:r w:rsidRPr="007856E8">
        <w:rPr>
          <w:rFonts w:ascii="Cambria" w:hAnsi="Cambria"/>
          <w:sz w:val="24"/>
          <w:szCs w:val="24"/>
        </w:rPr>
        <w:t xml:space="preserve"> Superintendencia los siguientes documentos: </w:t>
      </w:r>
    </w:p>
    <w:p w:rsidR="007D3B3A" w:rsidP="007D3B3A" w:rsidRDefault="007D3B3A" w14:paraId="0BB36F39" w14:textId="65E58A7C">
      <w:pPr>
        <w:pStyle w:val="Prrafodelista"/>
        <w:jc w:val="both"/>
        <w:rPr>
          <w:rFonts w:ascii="Cambria" w:hAnsi="Cambria"/>
          <w:sz w:val="24"/>
          <w:szCs w:val="24"/>
        </w:rPr>
      </w:pPr>
    </w:p>
    <w:p w:rsidR="007E035A" w:rsidP="007D3B3A" w:rsidRDefault="007E035A" w14:paraId="31FE996E" w14:textId="0F50D766">
      <w:pPr>
        <w:pStyle w:val="Prrafodelista"/>
        <w:jc w:val="both"/>
        <w:rPr>
          <w:rFonts w:ascii="Cambria" w:hAnsi="Cambria"/>
          <w:sz w:val="24"/>
          <w:szCs w:val="24"/>
        </w:rPr>
      </w:pPr>
    </w:p>
    <w:p w:rsidR="007D3B3A" w:rsidP="001E0C58" w:rsidRDefault="007D3B3A" w14:paraId="149215B4" w14:textId="3742790E">
      <w:pPr>
        <w:pStyle w:val="Prrafodelista"/>
        <w:numPr>
          <w:ilvl w:val="0"/>
          <w:numId w:val="6"/>
        </w:numPr>
        <w:jc w:val="both"/>
        <w:rPr>
          <w:rFonts w:ascii="Cambria" w:hAnsi="Cambria"/>
          <w:sz w:val="24"/>
          <w:szCs w:val="24"/>
        </w:rPr>
      </w:pPr>
      <w:r w:rsidRPr="00FE352D">
        <w:rPr>
          <w:rFonts w:ascii="Cambria" w:hAnsi="Cambria"/>
          <w:b/>
          <w:bCs/>
          <w:sz w:val="24"/>
          <w:szCs w:val="24"/>
        </w:rPr>
        <w:lastRenderedPageBreak/>
        <w:t>Informe emitido por auditor externo, para obtener una opinión con certeza razonable del cumplimiento y efectividad de la labor del gobierno corporativo, en la atención de los riesgos de legitimación de capitales, el financiamiento al terrorismo y el financiamiento de la proliferación de armas de destrucción masiva</w:t>
      </w:r>
      <w:r w:rsidRPr="00FE352D" w:rsidR="00D338AF">
        <w:rPr>
          <w:rFonts w:ascii="Cambria" w:hAnsi="Cambria"/>
          <w:b/>
          <w:bCs/>
          <w:sz w:val="24"/>
          <w:szCs w:val="24"/>
        </w:rPr>
        <w:t xml:space="preserve"> (LC/FT/FPADM)</w:t>
      </w:r>
      <w:r w:rsidRPr="00FE352D">
        <w:rPr>
          <w:rFonts w:ascii="Cambria" w:hAnsi="Cambria"/>
          <w:b/>
          <w:bCs/>
          <w:sz w:val="24"/>
          <w:szCs w:val="24"/>
        </w:rPr>
        <w:t>;</w:t>
      </w:r>
      <w:r w:rsidRPr="00530B01">
        <w:rPr>
          <w:rFonts w:ascii="Cambria" w:hAnsi="Cambria"/>
          <w:sz w:val="24"/>
          <w:szCs w:val="24"/>
        </w:rPr>
        <w:t xml:space="preserve"> este informe debe realizarse bajo la norma de Trabajos de atestiguamiento NITA 3000. </w:t>
      </w:r>
      <w:r w:rsidRPr="00530B01" w:rsidR="006C1629">
        <w:rPr>
          <w:rFonts w:ascii="Cambria" w:hAnsi="Cambria"/>
          <w:sz w:val="24"/>
          <w:szCs w:val="24"/>
        </w:rPr>
        <w:t xml:space="preserve">Para cumplir con el requisito, </w:t>
      </w:r>
      <w:r w:rsidRPr="00530B01" w:rsidR="006C1629">
        <w:rPr>
          <w:rFonts w:ascii="Cambria" w:hAnsi="Cambria"/>
          <w:sz w:val="24"/>
          <w:szCs w:val="24"/>
          <w:u w:val="single"/>
        </w:rPr>
        <w:t>e</w:t>
      </w:r>
      <w:r w:rsidRPr="00530B01">
        <w:rPr>
          <w:rFonts w:ascii="Cambria" w:hAnsi="Cambria"/>
          <w:sz w:val="24"/>
          <w:szCs w:val="24"/>
          <w:u w:val="single"/>
        </w:rPr>
        <w:t xml:space="preserve">l informe del auditor externo debe concluir que el sujeto obligado dispone de un </w:t>
      </w:r>
      <w:r w:rsidRPr="00AD24E3" w:rsidR="00765358">
        <w:rPr>
          <w:rFonts w:ascii="Cambria" w:hAnsi="Cambria"/>
          <w:b/>
          <w:bCs/>
          <w:sz w:val="24"/>
          <w:szCs w:val="24"/>
          <w:u w:val="single"/>
        </w:rPr>
        <w:t>A</w:t>
      </w:r>
      <w:r w:rsidRPr="00AD24E3">
        <w:rPr>
          <w:rFonts w:ascii="Cambria" w:hAnsi="Cambria"/>
          <w:b/>
          <w:bCs/>
          <w:sz w:val="24"/>
          <w:szCs w:val="24"/>
          <w:u w:val="single"/>
        </w:rPr>
        <w:t>lto</w:t>
      </w:r>
      <w:r w:rsidRPr="00530B01">
        <w:rPr>
          <w:rFonts w:ascii="Cambria" w:hAnsi="Cambria"/>
          <w:sz w:val="24"/>
          <w:szCs w:val="24"/>
          <w:u w:val="single"/>
        </w:rPr>
        <w:t xml:space="preserve"> </w:t>
      </w:r>
      <w:r w:rsidRPr="00530B01" w:rsidR="00530B01">
        <w:rPr>
          <w:rFonts w:ascii="Cambria" w:hAnsi="Cambria"/>
          <w:sz w:val="24"/>
          <w:szCs w:val="24"/>
          <w:u w:val="single"/>
        </w:rPr>
        <w:t xml:space="preserve">grado de </w:t>
      </w:r>
      <w:r w:rsidRPr="00530B01">
        <w:rPr>
          <w:rFonts w:ascii="Cambria" w:hAnsi="Cambria"/>
          <w:sz w:val="24"/>
          <w:szCs w:val="24"/>
          <w:u w:val="single"/>
        </w:rPr>
        <w:t xml:space="preserve">cumplimiento </w:t>
      </w:r>
      <w:r w:rsidRPr="00530B01" w:rsidR="00530B01">
        <w:rPr>
          <w:rFonts w:ascii="Cambria" w:hAnsi="Cambria"/>
          <w:sz w:val="24"/>
          <w:szCs w:val="24"/>
          <w:u w:val="single"/>
        </w:rPr>
        <w:t xml:space="preserve">normativo </w:t>
      </w:r>
      <w:r w:rsidRPr="00530B01">
        <w:rPr>
          <w:rFonts w:ascii="Cambria" w:hAnsi="Cambria"/>
          <w:sz w:val="24"/>
          <w:szCs w:val="24"/>
          <w:u w:val="single"/>
        </w:rPr>
        <w:t xml:space="preserve">y </w:t>
      </w:r>
      <w:r w:rsidRPr="00530B01" w:rsidR="00530B01">
        <w:rPr>
          <w:rFonts w:ascii="Cambria" w:hAnsi="Cambria"/>
          <w:sz w:val="24"/>
          <w:szCs w:val="24"/>
          <w:u w:val="single"/>
        </w:rPr>
        <w:t xml:space="preserve">de </w:t>
      </w:r>
      <w:r w:rsidRPr="00530B01">
        <w:rPr>
          <w:rFonts w:ascii="Cambria" w:hAnsi="Cambria"/>
          <w:sz w:val="24"/>
          <w:szCs w:val="24"/>
          <w:u w:val="single"/>
        </w:rPr>
        <w:t>efectividad en la implementación de los controles y de la gestión de prevención de estos riesgos</w:t>
      </w:r>
      <w:r w:rsidRPr="00530B01" w:rsidR="00530B01">
        <w:rPr>
          <w:rFonts w:ascii="Cambria" w:hAnsi="Cambria"/>
          <w:sz w:val="24"/>
          <w:szCs w:val="24"/>
          <w:u w:val="single"/>
        </w:rPr>
        <w:t xml:space="preserve"> para cada uno de los criterios que más adelante se detallan</w:t>
      </w:r>
      <w:r w:rsidRPr="00530B01" w:rsidR="00765358">
        <w:rPr>
          <w:rFonts w:ascii="Cambria" w:hAnsi="Cambria"/>
          <w:sz w:val="24"/>
          <w:szCs w:val="24"/>
        </w:rPr>
        <w:t xml:space="preserve">. </w:t>
      </w:r>
    </w:p>
    <w:p w:rsidRPr="00530B01" w:rsidR="00530B01" w:rsidP="00530B01" w:rsidRDefault="00530B01" w14:paraId="0C2AEBC0" w14:textId="77777777">
      <w:pPr>
        <w:pStyle w:val="Prrafodelista"/>
        <w:ind w:left="1068"/>
        <w:jc w:val="both"/>
        <w:rPr>
          <w:rFonts w:ascii="Cambria" w:hAnsi="Cambria"/>
          <w:sz w:val="24"/>
          <w:szCs w:val="24"/>
        </w:rPr>
      </w:pPr>
    </w:p>
    <w:p w:rsidR="007D3B3A" w:rsidP="007D3B3A" w:rsidRDefault="007D3B3A" w14:paraId="43575AE7" w14:textId="77777777">
      <w:pPr>
        <w:pStyle w:val="Prrafodelista"/>
        <w:ind w:left="1068"/>
        <w:jc w:val="both"/>
        <w:rPr>
          <w:rFonts w:ascii="Cambria" w:hAnsi="Cambria"/>
          <w:sz w:val="24"/>
          <w:szCs w:val="24"/>
        </w:rPr>
      </w:pPr>
      <w:r w:rsidRPr="003334EB">
        <w:rPr>
          <w:rFonts w:ascii="Cambria" w:hAnsi="Cambria"/>
          <w:sz w:val="24"/>
          <w:szCs w:val="24"/>
        </w:rPr>
        <w:t>El auditor externo debe estar activo en el Colegio de Contadores Públicos</w:t>
      </w:r>
      <w:r w:rsidRPr="00A47EB6">
        <w:rPr>
          <w:rFonts w:ascii="Cambria" w:hAnsi="Cambria"/>
          <w:sz w:val="24"/>
          <w:szCs w:val="24"/>
        </w:rPr>
        <w:t xml:space="preserve"> </w:t>
      </w:r>
      <w:r>
        <w:rPr>
          <w:rFonts w:ascii="Cambria" w:hAnsi="Cambria"/>
          <w:sz w:val="24"/>
          <w:szCs w:val="24"/>
        </w:rPr>
        <w:t xml:space="preserve">de Costa Rica y contar con la Certificación de Revisión de Control de </w:t>
      </w:r>
      <w:r w:rsidRPr="00D95B5A">
        <w:rPr>
          <w:rFonts w:ascii="Cambria" w:hAnsi="Cambria"/>
          <w:sz w:val="24"/>
          <w:szCs w:val="24"/>
        </w:rPr>
        <w:t xml:space="preserve">Calidad que emite ese Colegio; debe además estar inscrito en el Registro de Auditores Externos de la </w:t>
      </w:r>
      <w:proofErr w:type="spellStart"/>
      <w:r w:rsidRPr="00D95B5A">
        <w:rPr>
          <w:rFonts w:ascii="Cambria" w:hAnsi="Cambria"/>
          <w:sz w:val="24"/>
          <w:szCs w:val="24"/>
        </w:rPr>
        <w:t>Sugeval</w:t>
      </w:r>
      <w:proofErr w:type="spellEnd"/>
      <w:r w:rsidRPr="00D95B5A">
        <w:rPr>
          <w:rFonts w:ascii="Cambria" w:hAnsi="Cambria"/>
          <w:sz w:val="24"/>
          <w:szCs w:val="24"/>
        </w:rPr>
        <w:t>. Tales condiciones deben ser</w:t>
      </w:r>
      <w:r>
        <w:rPr>
          <w:rFonts w:ascii="Cambria" w:hAnsi="Cambria"/>
          <w:sz w:val="24"/>
          <w:szCs w:val="24"/>
        </w:rPr>
        <w:t xml:space="preserve"> demostradas ante la SUGEF.</w:t>
      </w:r>
    </w:p>
    <w:p w:rsidR="007D3B3A" w:rsidP="007D3B3A" w:rsidRDefault="007D3B3A" w14:paraId="094738D2" w14:textId="77777777">
      <w:pPr>
        <w:ind w:left="1068"/>
        <w:rPr>
          <w:rFonts w:cs="Arial"/>
          <w:sz w:val="24"/>
          <w:lang w:eastAsia="es-CR"/>
        </w:rPr>
      </w:pPr>
      <w:r w:rsidRPr="00904F8F">
        <w:rPr>
          <w:sz w:val="24"/>
        </w:rPr>
        <w:t xml:space="preserve">Se entiende por gobierno corporativo </w:t>
      </w:r>
      <w:r w:rsidRPr="00904F8F">
        <w:rPr>
          <w:rFonts w:cs="Arial"/>
          <w:sz w:val="24"/>
          <w:lang w:eastAsia="es-CR"/>
        </w:rPr>
        <w:t xml:space="preserve">la forma mediante la cual las entidades se organizan para llevar a cabo la administración y el control de su gestión. Está constituido por las estructuras de dirección de la entidad, las de gestión tal como la </w:t>
      </w:r>
      <w:r>
        <w:rPr>
          <w:rFonts w:cs="Arial"/>
          <w:sz w:val="24"/>
          <w:lang w:eastAsia="es-CR"/>
        </w:rPr>
        <w:t>a</w:t>
      </w:r>
      <w:r w:rsidRPr="00904F8F">
        <w:rPr>
          <w:rFonts w:cs="Arial"/>
          <w:sz w:val="24"/>
          <w:lang w:eastAsia="es-CR"/>
        </w:rPr>
        <w:t xml:space="preserve">lta </w:t>
      </w:r>
      <w:r>
        <w:rPr>
          <w:rFonts w:cs="Arial"/>
          <w:sz w:val="24"/>
          <w:lang w:eastAsia="es-CR"/>
        </w:rPr>
        <w:t>g</w:t>
      </w:r>
      <w:r w:rsidRPr="00904F8F">
        <w:rPr>
          <w:rFonts w:cs="Arial"/>
          <w:sz w:val="24"/>
          <w:lang w:eastAsia="es-CR"/>
        </w:rPr>
        <w:t>erencia y las de control incluyendo la Auditoría Interna, así como por el conjunto de prácticas adoptadas para llevar adelante la dirección, monitoreo y control diario del negocio conocido como Gestión de operaciones, en el marco de las leyes y regulaciones aplicables</w:t>
      </w:r>
      <w:r>
        <w:rPr>
          <w:rFonts w:cs="Arial"/>
          <w:sz w:val="24"/>
          <w:lang w:eastAsia="es-CR"/>
        </w:rPr>
        <w:t>,</w:t>
      </w:r>
      <w:r w:rsidRPr="00904F8F">
        <w:rPr>
          <w:rFonts w:cs="Arial"/>
          <w:sz w:val="24"/>
          <w:lang w:eastAsia="es-CR"/>
        </w:rPr>
        <w:t xml:space="preserve"> lo que representa el </w:t>
      </w:r>
      <w:r>
        <w:rPr>
          <w:rFonts w:cs="Arial"/>
          <w:sz w:val="24"/>
          <w:lang w:eastAsia="es-CR"/>
        </w:rPr>
        <w:t>c</w:t>
      </w:r>
      <w:r w:rsidRPr="00904F8F">
        <w:rPr>
          <w:rFonts w:cs="Arial"/>
          <w:sz w:val="24"/>
          <w:lang w:eastAsia="es-CR"/>
        </w:rPr>
        <w:t xml:space="preserve">umplimiento </w:t>
      </w:r>
      <w:r>
        <w:rPr>
          <w:rFonts w:cs="Arial"/>
          <w:sz w:val="24"/>
          <w:lang w:eastAsia="es-CR"/>
        </w:rPr>
        <w:t>l</w:t>
      </w:r>
      <w:r w:rsidRPr="00904F8F">
        <w:rPr>
          <w:rFonts w:cs="Arial"/>
          <w:sz w:val="24"/>
          <w:lang w:eastAsia="es-CR"/>
        </w:rPr>
        <w:t>egal y regulatorio.</w:t>
      </w:r>
    </w:p>
    <w:p w:rsidRPr="00904F8F" w:rsidR="007D3B3A" w:rsidP="007D3B3A" w:rsidRDefault="007D3B3A" w14:paraId="0C5B8F28" w14:textId="77777777">
      <w:pPr>
        <w:ind w:left="1068"/>
        <w:rPr>
          <w:rFonts w:cs="Arial"/>
          <w:sz w:val="24"/>
          <w:lang w:eastAsia="es-CR"/>
        </w:rPr>
      </w:pPr>
    </w:p>
    <w:p w:rsidR="007D3B3A" w:rsidP="007D3B3A" w:rsidRDefault="007D3B3A" w14:paraId="2F8FB438" w14:textId="77777777">
      <w:pPr>
        <w:pStyle w:val="Default"/>
        <w:ind w:left="1068"/>
        <w:jc w:val="both"/>
        <w:rPr>
          <w:rFonts w:ascii="Cambria" w:hAnsi="Cambria" w:cstheme="minorBidi"/>
          <w:color w:val="auto"/>
        </w:rPr>
      </w:pPr>
      <w:r w:rsidRPr="00381BD4">
        <w:rPr>
          <w:rFonts w:ascii="Cambria" w:hAnsi="Cambria" w:cstheme="minorBidi"/>
          <w:color w:val="auto"/>
        </w:rPr>
        <w:t xml:space="preserve">Las prácticas citadas deberán permitir establecer los objetivos institucionales, determinar los medios para alcanzarlos y supervisar su observancia, </w:t>
      </w:r>
      <w:r w:rsidRPr="00D95B5A">
        <w:rPr>
          <w:rFonts w:ascii="Cambria" w:hAnsi="Cambria" w:cstheme="minorBidi"/>
          <w:color w:val="auto"/>
          <w:u w:val="single"/>
        </w:rPr>
        <w:t>donde se demuestre un alto cumplimiento y efectividad en la implementación de los controles y de la gestión</w:t>
      </w:r>
      <w:r w:rsidRPr="00381BD4">
        <w:rPr>
          <w:rFonts w:ascii="Cambria" w:hAnsi="Cambria" w:cstheme="minorBidi"/>
          <w:color w:val="auto"/>
        </w:rPr>
        <w:t xml:space="preserve"> de prevención del riesgo de legitimación de capitales, el financiamiento al terrorismo y el financiamiento de la proliferación de armas de destrucción masiva, según lo dispuesto en </w:t>
      </w:r>
      <w:r>
        <w:rPr>
          <w:rFonts w:ascii="Cambria" w:hAnsi="Cambria" w:cstheme="minorBidi"/>
          <w:color w:val="auto"/>
        </w:rPr>
        <w:t>el</w:t>
      </w:r>
      <w:r w:rsidRPr="00381BD4">
        <w:rPr>
          <w:rFonts w:ascii="Cambria" w:hAnsi="Cambria" w:cstheme="minorBidi"/>
          <w:color w:val="auto"/>
        </w:rPr>
        <w:t xml:space="preserve"> </w:t>
      </w:r>
      <w:r>
        <w:rPr>
          <w:rFonts w:ascii="Cambria" w:hAnsi="Cambria" w:cstheme="minorBidi"/>
          <w:color w:val="auto"/>
        </w:rPr>
        <w:t>R</w:t>
      </w:r>
      <w:r w:rsidRPr="00381BD4">
        <w:rPr>
          <w:rFonts w:ascii="Cambria" w:hAnsi="Cambria" w:cstheme="minorBidi"/>
          <w:color w:val="auto"/>
        </w:rPr>
        <w:t>eglamento para la inscripción y desinscripción</w:t>
      </w:r>
      <w:r>
        <w:rPr>
          <w:rFonts w:ascii="Cambria" w:hAnsi="Cambria" w:cstheme="minorBidi"/>
          <w:color w:val="auto"/>
        </w:rPr>
        <w:t xml:space="preserve">, </w:t>
      </w:r>
      <w:r w:rsidRPr="00381BD4">
        <w:rPr>
          <w:rFonts w:ascii="Cambria" w:hAnsi="Cambria" w:cstheme="minorBidi"/>
          <w:color w:val="auto"/>
        </w:rPr>
        <w:t xml:space="preserve">Acuerdo Sugef 11-18 y </w:t>
      </w:r>
      <w:r>
        <w:rPr>
          <w:rFonts w:ascii="Cambria" w:hAnsi="Cambria" w:cstheme="minorBidi"/>
          <w:color w:val="auto"/>
        </w:rPr>
        <w:t xml:space="preserve">en </w:t>
      </w:r>
      <w:r w:rsidRPr="00381BD4">
        <w:rPr>
          <w:rFonts w:ascii="Cambria" w:hAnsi="Cambria" w:cstheme="minorBidi"/>
          <w:color w:val="auto"/>
        </w:rPr>
        <w:t xml:space="preserve">el </w:t>
      </w:r>
      <w:r>
        <w:rPr>
          <w:rFonts w:ascii="Cambria" w:hAnsi="Cambria" w:cstheme="minorBidi"/>
          <w:color w:val="auto"/>
        </w:rPr>
        <w:t>R</w:t>
      </w:r>
      <w:r w:rsidRPr="00381BD4">
        <w:rPr>
          <w:rFonts w:ascii="Cambria" w:hAnsi="Cambria" w:cstheme="minorBidi"/>
          <w:color w:val="auto"/>
        </w:rPr>
        <w:t>eglamento para la prevención del riesgo</w:t>
      </w:r>
      <w:r>
        <w:rPr>
          <w:rFonts w:ascii="Cambria" w:hAnsi="Cambria" w:cstheme="minorBidi"/>
          <w:color w:val="auto"/>
        </w:rPr>
        <w:t xml:space="preserve"> de LC/FT/FPADM,</w:t>
      </w:r>
      <w:r w:rsidRPr="00381BD4">
        <w:rPr>
          <w:rFonts w:ascii="Cambria" w:hAnsi="Cambria" w:cstheme="minorBidi"/>
          <w:color w:val="auto"/>
        </w:rPr>
        <w:t xml:space="preserve"> Acuerdo Sugef 13-19.</w:t>
      </w:r>
    </w:p>
    <w:p w:rsidR="007D3B3A" w:rsidP="007D3B3A" w:rsidRDefault="007D3B3A" w14:paraId="37019525" w14:textId="77777777">
      <w:pPr>
        <w:pStyle w:val="Default"/>
        <w:ind w:left="1068"/>
        <w:jc w:val="both"/>
        <w:rPr>
          <w:rFonts w:ascii="Cambria" w:hAnsi="Cambria" w:cstheme="minorBidi"/>
          <w:color w:val="auto"/>
        </w:rPr>
      </w:pPr>
    </w:p>
    <w:p w:rsidR="00007516" w:rsidP="007D3B3A" w:rsidRDefault="007D3B3A" w14:paraId="2F6DC9F1" w14:textId="77777777">
      <w:pPr>
        <w:pStyle w:val="Default"/>
        <w:ind w:left="1068"/>
        <w:jc w:val="both"/>
        <w:rPr>
          <w:rFonts w:ascii="Cambria" w:hAnsi="Cambria" w:cstheme="minorBidi"/>
          <w:color w:val="auto"/>
        </w:rPr>
      </w:pPr>
      <w:r w:rsidRPr="00771714">
        <w:rPr>
          <w:rFonts w:ascii="Cambria" w:hAnsi="Cambria" w:cstheme="minorBidi"/>
          <w:color w:val="auto"/>
        </w:rPr>
        <w:t xml:space="preserve">El informe </w:t>
      </w:r>
      <w:r>
        <w:rPr>
          <w:rFonts w:ascii="Cambria" w:hAnsi="Cambria" w:cstheme="minorBidi"/>
          <w:color w:val="auto"/>
        </w:rPr>
        <w:t xml:space="preserve">emitido por el Auditor Externo </w:t>
      </w:r>
      <w:r w:rsidRPr="00771714">
        <w:rPr>
          <w:rFonts w:ascii="Cambria" w:hAnsi="Cambria" w:cstheme="minorBidi"/>
          <w:color w:val="auto"/>
        </w:rPr>
        <w:t>debe contemplar la evaluación de</w:t>
      </w:r>
      <w:r>
        <w:rPr>
          <w:rFonts w:ascii="Cambria" w:hAnsi="Cambria" w:cstheme="minorBidi"/>
          <w:color w:val="auto"/>
        </w:rPr>
        <w:t>l cumplimiento y efectividad de</w:t>
      </w:r>
      <w:r w:rsidRPr="00771714">
        <w:rPr>
          <w:rFonts w:ascii="Cambria" w:hAnsi="Cambria" w:cstheme="minorBidi"/>
          <w:color w:val="auto"/>
        </w:rPr>
        <w:t xml:space="preserve"> los siguientes criterios</w:t>
      </w:r>
      <w:r w:rsidR="00007516">
        <w:rPr>
          <w:rFonts w:ascii="Cambria" w:hAnsi="Cambria" w:cstheme="minorBidi"/>
          <w:color w:val="auto"/>
        </w:rPr>
        <w:t>:</w:t>
      </w:r>
    </w:p>
    <w:p w:rsidR="00007516" w:rsidP="007D3B3A" w:rsidRDefault="00007516" w14:paraId="00474F9A" w14:textId="77777777">
      <w:pPr>
        <w:pStyle w:val="Default"/>
        <w:ind w:left="1068"/>
        <w:jc w:val="both"/>
        <w:rPr>
          <w:rFonts w:ascii="Cambria" w:hAnsi="Cambria" w:cstheme="minorBidi"/>
          <w:color w:val="auto"/>
        </w:rPr>
      </w:pPr>
    </w:p>
    <w:p w:rsidR="00007516" w:rsidP="007D3B3A" w:rsidRDefault="00007516" w14:paraId="148BF7B2" w14:textId="4FE3C683">
      <w:pPr>
        <w:pStyle w:val="Default"/>
        <w:ind w:left="1068"/>
        <w:jc w:val="both"/>
        <w:rPr>
          <w:rFonts w:ascii="Cambria" w:hAnsi="Cambria" w:cstheme="minorBidi"/>
          <w:color w:val="auto"/>
        </w:rPr>
      </w:pPr>
    </w:p>
    <w:p w:rsidR="007E035A" w:rsidP="007D3B3A" w:rsidRDefault="007E035A" w14:paraId="70436E26" w14:textId="77777777">
      <w:pPr>
        <w:pStyle w:val="Default"/>
        <w:ind w:left="1068"/>
        <w:jc w:val="both"/>
        <w:rPr>
          <w:rFonts w:ascii="Cambria" w:hAnsi="Cambria" w:cstheme="minorBidi"/>
          <w:color w:val="auto"/>
        </w:rPr>
      </w:pPr>
    </w:p>
    <w:p w:rsidR="00007516" w:rsidP="007D3B3A" w:rsidRDefault="00007516" w14:paraId="12D14F61" w14:textId="77777777">
      <w:pPr>
        <w:pStyle w:val="Default"/>
        <w:ind w:left="1068"/>
        <w:jc w:val="both"/>
        <w:rPr>
          <w:rFonts w:ascii="Cambria" w:hAnsi="Cambria" w:cstheme="minorBidi"/>
          <w:color w:val="auto"/>
        </w:rPr>
      </w:pPr>
    </w:p>
    <w:p w:rsidRPr="00E0460B" w:rsidR="00007516" w:rsidP="00007516" w:rsidRDefault="00007516" w14:paraId="244C5CF6" w14:textId="77777777">
      <w:pPr>
        <w:pStyle w:val="Default"/>
        <w:numPr>
          <w:ilvl w:val="0"/>
          <w:numId w:val="7"/>
        </w:numPr>
        <w:jc w:val="both"/>
        <w:rPr>
          <w:rFonts w:ascii="Cambria" w:hAnsi="Cambria" w:cstheme="minorBidi"/>
          <w:b/>
          <w:bCs/>
          <w:color w:val="auto"/>
        </w:rPr>
      </w:pPr>
      <w:r w:rsidRPr="00E0460B">
        <w:rPr>
          <w:rFonts w:ascii="Cambria" w:hAnsi="Cambria" w:cstheme="minorBidi"/>
          <w:b/>
          <w:bCs/>
          <w:color w:val="auto"/>
        </w:rPr>
        <w:lastRenderedPageBreak/>
        <w:t>Del Reglamento de Inscripción, Acuerdo SUGEF 11-18:</w:t>
      </w:r>
    </w:p>
    <w:p w:rsidR="00007516" w:rsidP="00007516" w:rsidRDefault="00007516" w14:paraId="20970CF4" w14:textId="77777777">
      <w:pPr>
        <w:pStyle w:val="Default"/>
        <w:ind w:left="1068"/>
        <w:jc w:val="both"/>
        <w:rPr>
          <w:rFonts w:ascii="Cambria" w:hAnsi="Cambria" w:cstheme="minorBidi"/>
          <w:color w:val="auto"/>
        </w:rPr>
      </w:pPr>
    </w:p>
    <w:p w:rsidR="00007516" w:rsidP="00007516" w:rsidRDefault="00007516" w14:paraId="5DD8C056" w14:textId="77777777">
      <w:pPr>
        <w:pStyle w:val="Default"/>
        <w:ind w:left="1788"/>
        <w:jc w:val="both"/>
        <w:rPr>
          <w:rFonts w:ascii="Cambria" w:hAnsi="Cambria" w:cstheme="minorBidi"/>
          <w:color w:val="auto"/>
        </w:rPr>
      </w:pPr>
      <w:r>
        <w:rPr>
          <w:rFonts w:ascii="Cambria" w:hAnsi="Cambria" w:cstheme="minorBidi"/>
          <w:color w:val="auto"/>
        </w:rPr>
        <w:t>Secciones I y II del Capítulo de “Disposiciones Varias”, en lo que aplica a los sujetos obligados por los artículos 15 y 15 bis de la Ley 7786. Referirse en particular al uso de cuentas de uso exclusivo y al cumplimiento de las disposiciones sobre publicidad.</w:t>
      </w:r>
    </w:p>
    <w:p w:rsidR="00007516" w:rsidP="00007516" w:rsidRDefault="00007516" w14:paraId="5F5778F5" w14:textId="77777777">
      <w:pPr>
        <w:pStyle w:val="Default"/>
        <w:ind w:left="1788"/>
        <w:jc w:val="both"/>
        <w:rPr>
          <w:rFonts w:ascii="Cambria" w:hAnsi="Cambria" w:cstheme="minorBidi"/>
          <w:color w:val="auto"/>
        </w:rPr>
      </w:pPr>
    </w:p>
    <w:p w:rsidRPr="00E0460B" w:rsidR="00007516" w:rsidP="00007516" w:rsidRDefault="00007516" w14:paraId="39C8476A" w14:textId="77777777">
      <w:pPr>
        <w:pStyle w:val="Default"/>
        <w:numPr>
          <w:ilvl w:val="0"/>
          <w:numId w:val="7"/>
        </w:numPr>
        <w:jc w:val="both"/>
        <w:rPr>
          <w:rFonts w:ascii="Cambria" w:hAnsi="Cambria" w:cstheme="minorBidi"/>
          <w:b/>
          <w:bCs/>
          <w:color w:val="auto"/>
        </w:rPr>
      </w:pPr>
      <w:r w:rsidRPr="00E0460B">
        <w:rPr>
          <w:rFonts w:ascii="Cambria" w:hAnsi="Cambria" w:cstheme="minorBidi"/>
          <w:b/>
          <w:bCs/>
          <w:color w:val="auto"/>
        </w:rPr>
        <w:t>Del Reglamento de Prevención del Riesgo de LC/FT/FPADM, Acuerdo SUGEF 13-19:</w:t>
      </w:r>
    </w:p>
    <w:p w:rsidR="00007516" w:rsidP="00007516" w:rsidRDefault="00007516" w14:paraId="53688360" w14:textId="77777777">
      <w:pPr>
        <w:pStyle w:val="Default"/>
        <w:ind w:left="1068"/>
        <w:jc w:val="both"/>
        <w:rPr>
          <w:rFonts w:ascii="Cambria" w:hAnsi="Cambria" w:cstheme="minorBidi"/>
          <w:color w:val="auto"/>
        </w:rPr>
      </w:pPr>
    </w:p>
    <w:p w:rsidRPr="00381BD4" w:rsidR="00007516" w:rsidP="00007516" w:rsidRDefault="00007516" w14:paraId="6B84D9DB" w14:textId="57E5314F">
      <w:pPr>
        <w:pStyle w:val="Default"/>
        <w:ind w:left="1788"/>
        <w:jc w:val="both"/>
        <w:rPr>
          <w:rFonts w:ascii="Cambria" w:hAnsi="Cambria" w:cstheme="minorBidi"/>
          <w:color w:val="auto"/>
        </w:rPr>
      </w:pPr>
      <w:r>
        <w:rPr>
          <w:rFonts w:ascii="Cambria" w:hAnsi="Cambria" w:cstheme="minorBidi"/>
          <w:color w:val="auto"/>
        </w:rPr>
        <w:t xml:space="preserve">Capítulos del II al X de este cuerpo normativo, incluyendo lo que se dispone en los Lineamientos correspondientes. </w:t>
      </w:r>
      <w:r w:rsidRPr="000E3717">
        <w:rPr>
          <w:rFonts w:ascii="Cambria" w:hAnsi="Cambria" w:cstheme="minorBidi"/>
          <w:color w:val="auto"/>
          <w:u w:val="single"/>
        </w:rPr>
        <w:t xml:space="preserve">Referirse a cada capítulo </w:t>
      </w:r>
      <w:r w:rsidR="000E3717">
        <w:rPr>
          <w:rFonts w:ascii="Cambria" w:hAnsi="Cambria" w:cstheme="minorBidi"/>
          <w:color w:val="auto"/>
          <w:u w:val="single"/>
        </w:rPr>
        <w:t>como un criterio</w:t>
      </w:r>
      <w:r w:rsidRPr="000E3717">
        <w:rPr>
          <w:rFonts w:ascii="Cambria" w:hAnsi="Cambria" w:cstheme="minorBidi"/>
          <w:color w:val="auto"/>
          <w:u w:val="single"/>
        </w:rPr>
        <w:t xml:space="preserve"> individual</w:t>
      </w:r>
      <w:r>
        <w:rPr>
          <w:rFonts w:ascii="Cambria" w:hAnsi="Cambria" w:cstheme="minorBidi"/>
          <w:color w:val="auto"/>
        </w:rPr>
        <w:t>.</w:t>
      </w:r>
    </w:p>
    <w:p w:rsidR="00007516" w:rsidP="007D3B3A" w:rsidRDefault="00007516" w14:paraId="6C4D5B7D" w14:textId="77777777">
      <w:pPr>
        <w:pStyle w:val="Default"/>
        <w:ind w:left="1068"/>
        <w:jc w:val="both"/>
        <w:rPr>
          <w:rFonts w:ascii="Cambria" w:hAnsi="Cambria" w:cstheme="minorBidi"/>
          <w:color w:val="auto"/>
        </w:rPr>
      </w:pPr>
    </w:p>
    <w:p w:rsidR="007D3B3A" w:rsidP="007D3B3A" w:rsidRDefault="00007516" w14:paraId="52C38D3F" w14:textId="33AC3727">
      <w:pPr>
        <w:pStyle w:val="Default"/>
        <w:ind w:left="1068"/>
        <w:jc w:val="both"/>
        <w:rPr>
          <w:rFonts w:ascii="Cambria" w:hAnsi="Cambria" w:cstheme="minorBidi"/>
          <w:color w:val="auto"/>
        </w:rPr>
      </w:pPr>
      <w:r>
        <w:rPr>
          <w:rFonts w:ascii="Cambria" w:hAnsi="Cambria" w:cstheme="minorBidi"/>
          <w:color w:val="auto"/>
        </w:rPr>
        <w:t>El informe del Auditor Externo debe referirse al grado de</w:t>
      </w:r>
      <w:r w:rsidR="007E035A">
        <w:rPr>
          <w:rFonts w:ascii="Cambria" w:hAnsi="Cambria" w:cstheme="minorBidi"/>
          <w:color w:val="auto"/>
        </w:rPr>
        <w:t>:</w:t>
      </w:r>
      <w:r>
        <w:rPr>
          <w:rFonts w:ascii="Cambria" w:hAnsi="Cambria" w:cstheme="minorBidi"/>
          <w:color w:val="auto"/>
        </w:rPr>
        <w:t xml:space="preserve"> a) cumplimiento normativo y b) efectividad de los controles</w:t>
      </w:r>
      <w:r w:rsidR="007E035A">
        <w:rPr>
          <w:rFonts w:ascii="Cambria" w:hAnsi="Cambria" w:cstheme="minorBidi"/>
          <w:color w:val="auto"/>
        </w:rPr>
        <w:t>,</w:t>
      </w:r>
      <w:r>
        <w:rPr>
          <w:rFonts w:ascii="Cambria" w:hAnsi="Cambria" w:cstheme="minorBidi"/>
          <w:color w:val="auto"/>
        </w:rPr>
        <w:t xml:space="preserve"> sobre cada uno de los criterios</w:t>
      </w:r>
      <w:r w:rsidR="007E035A">
        <w:rPr>
          <w:rFonts w:ascii="Cambria" w:hAnsi="Cambria" w:cstheme="minorBidi"/>
          <w:color w:val="auto"/>
        </w:rPr>
        <w:t xml:space="preserve"> anteriores</w:t>
      </w:r>
      <w:r w:rsidR="00EF3F46">
        <w:rPr>
          <w:rFonts w:ascii="Cambria" w:hAnsi="Cambria" w:cstheme="minorBidi"/>
          <w:color w:val="auto"/>
        </w:rPr>
        <w:t xml:space="preserve">, cuyo resultado debe ser calificado según la siguiente escala: </w:t>
      </w:r>
    </w:p>
    <w:p w:rsidR="00B33C0A" w:rsidP="007D3B3A" w:rsidRDefault="00B33C0A" w14:paraId="026D592F" w14:textId="37C24A1C">
      <w:pPr>
        <w:pStyle w:val="Default"/>
        <w:ind w:left="1068"/>
        <w:jc w:val="both"/>
        <w:rPr>
          <w:rFonts w:ascii="Cambria" w:hAnsi="Cambria" w:cstheme="minorBidi"/>
          <w:color w:val="auto"/>
        </w:rPr>
      </w:pPr>
    </w:p>
    <w:p w:rsidRPr="00007516" w:rsidR="00007516" w:rsidP="00007516" w:rsidRDefault="00007516" w14:paraId="4ACF12C0" w14:textId="7E4E70DA">
      <w:pPr>
        <w:pStyle w:val="Default"/>
        <w:ind w:left="1068"/>
        <w:jc w:val="both"/>
        <w:rPr>
          <w:rFonts w:ascii="Cambria" w:hAnsi="Cambria" w:cstheme="minorBidi"/>
          <w:color w:val="auto"/>
        </w:rPr>
      </w:pPr>
      <w:r w:rsidRPr="00007516">
        <w:rPr>
          <w:rFonts w:ascii="Cambria" w:hAnsi="Cambria" w:cstheme="minorBidi"/>
          <w:b/>
          <w:bCs/>
          <w:color w:val="auto"/>
        </w:rPr>
        <w:t>Alto</w:t>
      </w:r>
      <w:r w:rsidRPr="00007516">
        <w:rPr>
          <w:rFonts w:ascii="Cambria" w:hAnsi="Cambria" w:cstheme="minorBidi"/>
          <w:color w:val="auto"/>
        </w:rPr>
        <w:t xml:space="preserve">: </w:t>
      </w:r>
      <w:r>
        <w:rPr>
          <w:rFonts w:ascii="Cambria" w:hAnsi="Cambria"/>
        </w:rPr>
        <w:t xml:space="preserve">se minimiza la posibilidad de que se presenten eventos </w:t>
      </w:r>
      <w:r w:rsidRPr="00765358">
        <w:rPr>
          <w:rFonts w:ascii="Cambria" w:hAnsi="Cambria"/>
        </w:rPr>
        <w:t>que expondrían a la entidad a los riesgos de LC/FT/FPADM</w:t>
      </w:r>
      <w:r w:rsidRPr="00007516">
        <w:rPr>
          <w:rFonts w:ascii="Cambria" w:hAnsi="Cambria" w:cstheme="minorBidi"/>
          <w:color w:val="auto"/>
        </w:rPr>
        <w:t>.</w:t>
      </w:r>
    </w:p>
    <w:p w:rsidRPr="00007516" w:rsidR="00007516" w:rsidP="00007516" w:rsidRDefault="00007516" w14:paraId="050F1EF4" w14:textId="224C4A3E">
      <w:pPr>
        <w:pStyle w:val="Default"/>
        <w:ind w:left="1068"/>
        <w:jc w:val="both"/>
        <w:rPr>
          <w:rFonts w:ascii="Cambria" w:hAnsi="Cambria" w:cstheme="minorBidi"/>
          <w:color w:val="auto"/>
        </w:rPr>
      </w:pPr>
      <w:r w:rsidRPr="00007516">
        <w:rPr>
          <w:rFonts w:ascii="Cambria" w:hAnsi="Cambria" w:cstheme="minorBidi"/>
          <w:b/>
          <w:bCs/>
          <w:color w:val="auto"/>
        </w:rPr>
        <w:t>Medio Alto</w:t>
      </w:r>
      <w:r w:rsidRPr="00007516">
        <w:rPr>
          <w:rFonts w:ascii="Cambria" w:hAnsi="Cambria" w:cstheme="minorBidi"/>
          <w:color w:val="auto"/>
        </w:rPr>
        <w:t>: Se podrían presentar situaciones que expondrían a la entidad a ser utilizada para LC/FT/FPADM.</w:t>
      </w:r>
    </w:p>
    <w:p w:rsidRPr="00007516" w:rsidR="00007516" w:rsidP="00007516" w:rsidRDefault="00007516" w14:paraId="302329E5" w14:textId="77777777">
      <w:pPr>
        <w:pStyle w:val="Default"/>
        <w:ind w:left="1068"/>
        <w:jc w:val="both"/>
        <w:rPr>
          <w:rFonts w:ascii="Cambria" w:hAnsi="Cambria" w:cstheme="minorBidi"/>
          <w:color w:val="auto"/>
        </w:rPr>
      </w:pPr>
      <w:r w:rsidRPr="00007516">
        <w:rPr>
          <w:rFonts w:ascii="Cambria" w:hAnsi="Cambria" w:cstheme="minorBidi"/>
          <w:b/>
          <w:bCs/>
          <w:color w:val="auto"/>
        </w:rPr>
        <w:t>Medio Bajo:</w:t>
      </w:r>
      <w:r w:rsidRPr="00007516">
        <w:rPr>
          <w:rFonts w:ascii="Cambria" w:hAnsi="Cambria" w:cstheme="minorBidi"/>
          <w:color w:val="auto"/>
        </w:rPr>
        <w:t xml:space="preserve"> Se presentan debilidades importantes que exponen a la entidad a ser utilizada para LC/FT/FPADM.</w:t>
      </w:r>
    </w:p>
    <w:p w:rsidR="00007516" w:rsidP="00007516" w:rsidRDefault="00007516" w14:paraId="500AF2F5" w14:textId="255BB766">
      <w:pPr>
        <w:pStyle w:val="Default"/>
        <w:ind w:left="1068"/>
        <w:jc w:val="both"/>
        <w:rPr>
          <w:rFonts w:ascii="Cambria" w:hAnsi="Cambria" w:cstheme="minorBidi"/>
          <w:color w:val="auto"/>
        </w:rPr>
      </w:pPr>
      <w:r w:rsidRPr="00007516">
        <w:rPr>
          <w:rFonts w:ascii="Cambria" w:hAnsi="Cambria" w:cstheme="minorBidi"/>
          <w:b/>
          <w:bCs/>
          <w:color w:val="auto"/>
        </w:rPr>
        <w:t>Bajo:</w:t>
      </w:r>
      <w:r w:rsidRPr="00007516">
        <w:rPr>
          <w:rFonts w:ascii="Cambria" w:hAnsi="Cambria" w:cstheme="minorBidi"/>
          <w:color w:val="auto"/>
        </w:rPr>
        <w:t xml:space="preserve"> No se cuenta con controles mínimos que protejan a la entidad de ser utilizada para LC/FT/FPADM.</w:t>
      </w:r>
    </w:p>
    <w:p w:rsidR="000E3717" w:rsidP="00007516" w:rsidRDefault="000E3717" w14:paraId="4A978E75" w14:textId="33410681">
      <w:pPr>
        <w:pStyle w:val="Default"/>
        <w:ind w:left="1068"/>
        <w:jc w:val="both"/>
        <w:rPr>
          <w:rFonts w:ascii="Cambria" w:hAnsi="Cambria" w:cstheme="minorBidi"/>
          <w:color w:val="auto"/>
        </w:rPr>
      </w:pPr>
    </w:p>
    <w:p w:rsidR="004B672C" w:rsidP="000E3717" w:rsidRDefault="000E3717" w14:paraId="6446D784" w14:textId="3840E8EB">
      <w:pPr>
        <w:pStyle w:val="Default"/>
        <w:ind w:left="1068"/>
        <w:jc w:val="both"/>
        <w:rPr>
          <w:highlight w:val="yellow"/>
        </w:rPr>
      </w:pPr>
      <w:r>
        <w:rPr>
          <w:rFonts w:ascii="Cambria" w:hAnsi="Cambria" w:cstheme="minorBidi"/>
          <w:color w:val="auto"/>
        </w:rPr>
        <w:t>En cada caso, la calificación asignada a cada criterio debe acompañarse de la fundamentación correspondiente, refiriéndose a las fortalezas o debilidades identificadas.</w:t>
      </w:r>
    </w:p>
    <w:p w:rsidR="00A951C1" w:rsidP="007D3B3A" w:rsidRDefault="00A951C1" w14:paraId="33082313" w14:textId="77777777">
      <w:pPr>
        <w:rPr>
          <w:sz w:val="24"/>
          <w:highlight w:val="yellow"/>
        </w:rPr>
      </w:pPr>
    </w:p>
    <w:p w:rsidR="00A951C1" w:rsidP="00A951C1" w:rsidRDefault="007D3B3A" w14:paraId="0736F013" w14:textId="5B12B5A0">
      <w:pPr>
        <w:pStyle w:val="Prrafodelista"/>
        <w:numPr>
          <w:ilvl w:val="0"/>
          <w:numId w:val="6"/>
        </w:numPr>
        <w:jc w:val="both"/>
        <w:rPr>
          <w:rFonts w:ascii="Cambria" w:hAnsi="Cambria"/>
          <w:sz w:val="24"/>
          <w:szCs w:val="24"/>
        </w:rPr>
      </w:pPr>
      <w:r w:rsidRPr="003748B8">
        <w:rPr>
          <w:rFonts w:ascii="Cambria" w:hAnsi="Cambria"/>
          <w:b/>
          <w:bCs/>
          <w:sz w:val="24"/>
          <w:szCs w:val="24"/>
        </w:rPr>
        <w:t>Informe emitido por un Auditor Externo de Tecnologías de Información (TI), CISA</w:t>
      </w:r>
      <w:r w:rsidRPr="00A951C1">
        <w:rPr>
          <w:rFonts w:ascii="Cambria" w:hAnsi="Cambria"/>
          <w:sz w:val="24"/>
          <w:szCs w:val="24"/>
        </w:rPr>
        <w:t>, el cual debe estar activo en la Asociación de Auditoría y Control de los Sistemas de Información (</w:t>
      </w:r>
      <w:proofErr w:type="spellStart"/>
      <w:r w:rsidRPr="00A951C1">
        <w:rPr>
          <w:rFonts w:ascii="Cambria" w:hAnsi="Cambria"/>
          <w:sz w:val="24"/>
          <w:szCs w:val="24"/>
        </w:rPr>
        <w:t>Information</w:t>
      </w:r>
      <w:proofErr w:type="spellEnd"/>
      <w:r w:rsidRPr="00A951C1">
        <w:rPr>
          <w:rFonts w:ascii="Cambria" w:hAnsi="Cambria"/>
          <w:sz w:val="24"/>
          <w:szCs w:val="24"/>
        </w:rPr>
        <w:t xml:space="preserve"> </w:t>
      </w:r>
      <w:proofErr w:type="spellStart"/>
      <w:r w:rsidRPr="00A951C1">
        <w:rPr>
          <w:rFonts w:ascii="Cambria" w:hAnsi="Cambria"/>
          <w:sz w:val="24"/>
          <w:szCs w:val="24"/>
        </w:rPr>
        <w:t>System</w:t>
      </w:r>
      <w:proofErr w:type="spellEnd"/>
      <w:r w:rsidRPr="00A951C1">
        <w:rPr>
          <w:rFonts w:ascii="Cambria" w:hAnsi="Cambria"/>
          <w:sz w:val="24"/>
          <w:szCs w:val="24"/>
        </w:rPr>
        <w:t xml:space="preserve"> Audit and Control </w:t>
      </w:r>
      <w:proofErr w:type="spellStart"/>
      <w:r w:rsidRPr="00A951C1">
        <w:rPr>
          <w:rFonts w:ascii="Cambria" w:hAnsi="Cambria"/>
          <w:sz w:val="24"/>
          <w:szCs w:val="24"/>
        </w:rPr>
        <w:t>Association</w:t>
      </w:r>
      <w:proofErr w:type="spellEnd"/>
      <w:r w:rsidRPr="00A951C1">
        <w:rPr>
          <w:rFonts w:ascii="Cambria" w:hAnsi="Cambria"/>
          <w:sz w:val="24"/>
          <w:szCs w:val="24"/>
        </w:rPr>
        <w:t xml:space="preserve">/ ISACA) e inscrito en el Registro de Auditores Externos de la </w:t>
      </w:r>
      <w:proofErr w:type="spellStart"/>
      <w:r w:rsidRPr="00A951C1">
        <w:rPr>
          <w:rFonts w:ascii="Cambria" w:hAnsi="Cambria"/>
          <w:sz w:val="24"/>
          <w:szCs w:val="24"/>
        </w:rPr>
        <w:t>Sugeval</w:t>
      </w:r>
      <w:proofErr w:type="spellEnd"/>
      <w:r w:rsidRPr="00A951C1" w:rsidR="00A951C1">
        <w:rPr>
          <w:rFonts w:ascii="Cambria" w:hAnsi="Cambria"/>
          <w:sz w:val="24"/>
          <w:szCs w:val="24"/>
        </w:rPr>
        <w:t xml:space="preserve">. </w:t>
      </w:r>
      <w:r w:rsidRPr="00530B01" w:rsidR="00A951C1">
        <w:rPr>
          <w:rFonts w:ascii="Cambria" w:hAnsi="Cambria"/>
          <w:sz w:val="24"/>
          <w:szCs w:val="24"/>
        </w:rPr>
        <w:t xml:space="preserve">Para cumplir con el requisito, </w:t>
      </w:r>
      <w:r w:rsidRPr="00530B01" w:rsidR="00A951C1">
        <w:rPr>
          <w:rFonts w:ascii="Cambria" w:hAnsi="Cambria"/>
          <w:sz w:val="24"/>
          <w:szCs w:val="24"/>
          <w:u w:val="single"/>
        </w:rPr>
        <w:t xml:space="preserve">el informe del auditor externo </w:t>
      </w:r>
      <w:r w:rsidR="00A951C1">
        <w:rPr>
          <w:rFonts w:ascii="Cambria" w:hAnsi="Cambria"/>
          <w:sz w:val="24"/>
          <w:szCs w:val="24"/>
          <w:u w:val="single"/>
        </w:rPr>
        <w:t xml:space="preserve">de TI </w:t>
      </w:r>
      <w:r w:rsidRPr="00530B01" w:rsidR="00A951C1">
        <w:rPr>
          <w:rFonts w:ascii="Cambria" w:hAnsi="Cambria"/>
          <w:sz w:val="24"/>
          <w:szCs w:val="24"/>
          <w:u w:val="single"/>
        </w:rPr>
        <w:t xml:space="preserve">debe concluir que el sujeto obligado dispone de un </w:t>
      </w:r>
      <w:r w:rsidRPr="00AD24E3" w:rsidR="00A951C1">
        <w:rPr>
          <w:rFonts w:ascii="Cambria" w:hAnsi="Cambria"/>
          <w:b/>
          <w:bCs/>
          <w:sz w:val="24"/>
          <w:szCs w:val="24"/>
          <w:u w:val="single"/>
        </w:rPr>
        <w:t>A</w:t>
      </w:r>
      <w:r w:rsidRPr="00AD24E3" w:rsidR="00AD24E3">
        <w:rPr>
          <w:rFonts w:ascii="Cambria" w:hAnsi="Cambria"/>
          <w:b/>
          <w:bCs/>
          <w:sz w:val="24"/>
          <w:szCs w:val="24"/>
          <w:u w:val="single"/>
        </w:rPr>
        <w:t>ceptable</w:t>
      </w:r>
      <w:r w:rsidRPr="00530B01" w:rsidR="00A951C1">
        <w:rPr>
          <w:rFonts w:ascii="Cambria" w:hAnsi="Cambria"/>
          <w:sz w:val="24"/>
          <w:szCs w:val="24"/>
          <w:u w:val="single"/>
        </w:rPr>
        <w:t xml:space="preserve"> grado </w:t>
      </w:r>
      <w:r w:rsidR="002F27FB">
        <w:rPr>
          <w:rFonts w:ascii="Cambria" w:hAnsi="Cambria"/>
          <w:sz w:val="24"/>
          <w:szCs w:val="24"/>
          <w:u w:val="single"/>
        </w:rPr>
        <w:t xml:space="preserve">(o superior) </w:t>
      </w:r>
      <w:r w:rsidR="00A951C1">
        <w:rPr>
          <w:rFonts w:ascii="Cambria" w:hAnsi="Cambria"/>
          <w:sz w:val="24"/>
          <w:szCs w:val="24"/>
          <w:u w:val="single"/>
        </w:rPr>
        <w:t>en la gestión de los riesgos de TI</w:t>
      </w:r>
      <w:r w:rsidRPr="00530B01" w:rsidR="00A951C1">
        <w:rPr>
          <w:rFonts w:ascii="Cambria" w:hAnsi="Cambria"/>
          <w:sz w:val="24"/>
          <w:szCs w:val="24"/>
          <w:u w:val="single"/>
        </w:rPr>
        <w:t xml:space="preserve"> para cada uno de los criterios que más adelante se detallan</w:t>
      </w:r>
      <w:r w:rsidRPr="00530B01" w:rsidR="00A951C1">
        <w:rPr>
          <w:rFonts w:ascii="Cambria" w:hAnsi="Cambria"/>
          <w:sz w:val="24"/>
          <w:szCs w:val="24"/>
        </w:rPr>
        <w:t xml:space="preserve">. </w:t>
      </w:r>
    </w:p>
    <w:p w:rsidRPr="00A951C1" w:rsidR="007D3B3A" w:rsidP="00E06F76" w:rsidRDefault="007D3B3A" w14:paraId="4B77B2A2" w14:textId="61A4C49E">
      <w:pPr>
        <w:pStyle w:val="Prrafodelista"/>
        <w:ind w:left="1068"/>
        <w:jc w:val="both"/>
        <w:rPr>
          <w:rFonts w:ascii="Cambria" w:hAnsi="Cambria"/>
          <w:sz w:val="24"/>
          <w:szCs w:val="24"/>
        </w:rPr>
      </w:pPr>
    </w:p>
    <w:p w:rsidRPr="00FC21F0" w:rsidR="007D3B3A" w:rsidP="00E06F76" w:rsidRDefault="007D3B3A" w14:paraId="4A0CC046" w14:textId="77777777">
      <w:pPr>
        <w:pStyle w:val="Prrafodelista"/>
        <w:ind w:left="1068"/>
        <w:jc w:val="both"/>
        <w:rPr>
          <w:rFonts w:ascii="Cambria" w:hAnsi="Cambria"/>
          <w:sz w:val="24"/>
          <w:szCs w:val="24"/>
        </w:rPr>
      </w:pPr>
      <w:r w:rsidRPr="00FC21F0">
        <w:rPr>
          <w:rFonts w:ascii="Cambria" w:hAnsi="Cambria"/>
          <w:sz w:val="24"/>
          <w:szCs w:val="24"/>
        </w:rPr>
        <w:t xml:space="preserve">La auditoría de TI que se realice por el auditor CISA debe utilizar como criterios de evaluación las mejores prácticas y controles de TI descritos en COBIT 5 o superior, con el objetivo de auditar y validar si el sujeto obligado </w:t>
      </w:r>
      <w:r w:rsidRPr="00FC21F0">
        <w:rPr>
          <w:rFonts w:ascii="Cambria" w:hAnsi="Cambria"/>
          <w:sz w:val="24"/>
          <w:szCs w:val="24"/>
        </w:rPr>
        <w:lastRenderedPageBreak/>
        <w:t xml:space="preserve">cuenta con plataformas tecnológicas robustas, seguras y cuenta con un adecuado sistema de gestión tecnológica para salvaguardar la información de los usuarios que utilizan los servicios de pago. </w:t>
      </w:r>
    </w:p>
    <w:p w:rsidR="007D3B3A" w:rsidP="007D3B3A" w:rsidRDefault="007D3B3A" w14:paraId="66392BF2" w14:textId="77777777">
      <w:pPr>
        <w:ind w:left="1068"/>
        <w:rPr>
          <w:sz w:val="24"/>
        </w:rPr>
      </w:pPr>
      <w:r w:rsidRPr="00FC21F0">
        <w:rPr>
          <w:sz w:val="24"/>
        </w:rPr>
        <w:t>El alcance de auditoría de TI debe contemplar la evaluación de los procesos de TI descritos en la tabla siguiente:</w:t>
      </w:r>
    </w:p>
    <w:p w:rsidR="00A8273F" w:rsidP="007D3B3A" w:rsidRDefault="00A8273F" w14:paraId="2BF1A2CE" w14:textId="77777777">
      <w:pPr>
        <w:tabs>
          <w:tab w:val="center" w:pos="4680"/>
          <w:tab w:val="right" w:pos="9360"/>
        </w:tabs>
        <w:spacing w:line="240" w:lineRule="auto"/>
        <w:jc w:val="center"/>
        <w:rPr>
          <w:b/>
          <w:bCs/>
          <w:sz w:val="24"/>
          <w:lang w:val="es-CR"/>
        </w:rPr>
      </w:pPr>
    </w:p>
    <w:p w:rsidRPr="002657C8" w:rsidR="007D3B3A" w:rsidP="007D3B3A" w:rsidRDefault="007D3B3A" w14:paraId="583AECDF" w14:textId="468308B3">
      <w:pPr>
        <w:tabs>
          <w:tab w:val="center" w:pos="4680"/>
          <w:tab w:val="right" w:pos="9360"/>
        </w:tabs>
        <w:spacing w:line="240" w:lineRule="auto"/>
        <w:jc w:val="center"/>
        <w:rPr>
          <w:b/>
          <w:bCs/>
          <w:sz w:val="24"/>
          <w:lang w:val="es-CR"/>
        </w:rPr>
      </w:pPr>
      <w:r w:rsidRPr="00E06F76">
        <w:rPr>
          <w:b/>
          <w:bCs/>
          <w:sz w:val="24"/>
          <w:lang w:val="es-CR"/>
        </w:rPr>
        <w:t>Tabla de procesos TI</w:t>
      </w:r>
    </w:p>
    <w:tbl>
      <w:tblPr>
        <w:tblStyle w:val="Tablaconcuadrcula1clara"/>
        <w:tblW w:w="9072" w:type="dxa"/>
        <w:tblInd w:w="137" w:type="dxa"/>
        <w:tblLook w:val="04A0" w:firstRow="1" w:lastRow="0" w:firstColumn="1" w:lastColumn="0" w:noHBand="0" w:noVBand="1"/>
      </w:tblPr>
      <w:tblGrid>
        <w:gridCol w:w="1121"/>
        <w:gridCol w:w="3566"/>
        <w:gridCol w:w="938"/>
        <w:gridCol w:w="3447"/>
      </w:tblGrid>
      <w:tr w:rsidRPr="00E06F76" w:rsidR="007D3B3A" w:rsidTr="00C931A0" w14:paraId="7733CFD7" w14:textId="77777777">
        <w:trPr>
          <w:cnfStyle w:val="100000000000" w:firstRow="1" w:lastRow="0" w:firstColumn="0" w:lastColumn="0" w:oddVBand="0" w:evenVBand="0" w:oddHBand="0" w:evenHBand="0" w:firstRowFirstColumn="0" w:firstRowLastColumn="0" w:lastRowFirstColumn="0" w:lastRowLastColumn="0"/>
          <w:trHeight w:val="569"/>
          <w:tblHeader/>
        </w:trPr>
        <w:tc>
          <w:tcPr>
            <w:cnfStyle w:val="001000000000" w:firstRow="0" w:lastRow="0" w:firstColumn="1" w:lastColumn="0" w:oddVBand="0" w:evenVBand="0" w:oddHBand="0" w:evenHBand="0" w:firstRowFirstColumn="0" w:firstRowLastColumn="0" w:lastRowFirstColumn="0" w:lastRowLastColumn="0"/>
            <w:tcW w:w="1121" w:type="dxa"/>
            <w:shd w:val="clear" w:color="auto" w:fill="44546A" w:themeFill="text2"/>
          </w:tcPr>
          <w:p w:rsidRPr="00E06F76" w:rsidR="007D3B3A" w:rsidP="006A1400" w:rsidRDefault="007D3B3A" w14:paraId="679E0FE9" w14:textId="77777777">
            <w:pPr>
              <w:tabs>
                <w:tab w:val="center" w:pos="4680"/>
                <w:tab w:val="right" w:pos="9360"/>
              </w:tabs>
              <w:jc w:val="center"/>
              <w:rPr>
                <w:color w:val="FFFFFF" w:themeColor="background1"/>
                <w:sz w:val="22"/>
                <w:szCs w:val="22"/>
                <w:lang w:eastAsia="en-US"/>
              </w:rPr>
            </w:pPr>
            <w:r w:rsidRPr="00E06F76">
              <w:rPr>
                <w:color w:val="FFFFFF" w:themeColor="background1"/>
                <w:sz w:val="22"/>
                <w:szCs w:val="22"/>
                <w:lang w:eastAsia="en-US"/>
              </w:rPr>
              <w:t>Id</w:t>
            </w:r>
          </w:p>
        </w:tc>
        <w:tc>
          <w:tcPr>
            <w:tcW w:w="3566" w:type="dxa"/>
            <w:shd w:val="clear" w:color="auto" w:fill="44546A" w:themeFill="text2"/>
          </w:tcPr>
          <w:p w:rsidRPr="00E06F76" w:rsidR="007D3B3A" w:rsidP="006A1400" w:rsidRDefault="007D3B3A" w14:paraId="35D542E0" w14:textId="77777777">
            <w:pP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eastAsia="en-US"/>
              </w:rPr>
            </w:pPr>
            <w:r w:rsidRPr="00E06F76">
              <w:rPr>
                <w:color w:val="FFFFFF" w:themeColor="background1"/>
                <w:sz w:val="22"/>
                <w:szCs w:val="22"/>
                <w:lang w:eastAsia="en-US"/>
              </w:rPr>
              <w:t>Proceso</w:t>
            </w:r>
          </w:p>
        </w:tc>
        <w:tc>
          <w:tcPr>
            <w:tcW w:w="938" w:type="dxa"/>
            <w:shd w:val="clear" w:color="auto" w:fill="44546A" w:themeFill="text2"/>
          </w:tcPr>
          <w:p w:rsidRPr="00E06F76" w:rsidR="007D3B3A" w:rsidP="006A1400" w:rsidRDefault="007D3B3A" w14:paraId="51734E0F" w14:textId="77777777">
            <w:pP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eastAsia="en-US"/>
              </w:rPr>
            </w:pPr>
            <w:r w:rsidRPr="00E06F76">
              <w:rPr>
                <w:color w:val="FFFFFF" w:themeColor="background1"/>
                <w:sz w:val="22"/>
                <w:szCs w:val="22"/>
                <w:lang w:eastAsia="en-US"/>
              </w:rPr>
              <w:t>Id</w:t>
            </w:r>
          </w:p>
        </w:tc>
        <w:tc>
          <w:tcPr>
            <w:tcW w:w="3447" w:type="dxa"/>
            <w:shd w:val="clear" w:color="auto" w:fill="44546A" w:themeFill="text2"/>
          </w:tcPr>
          <w:p w:rsidRPr="00E06F76" w:rsidR="007D3B3A" w:rsidP="006A1400" w:rsidRDefault="007D3B3A" w14:paraId="4F86889D" w14:textId="77777777">
            <w:pP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eastAsia="en-US"/>
              </w:rPr>
            </w:pPr>
            <w:r w:rsidRPr="00E06F76">
              <w:rPr>
                <w:color w:val="FFFFFF" w:themeColor="background1"/>
                <w:sz w:val="22"/>
                <w:szCs w:val="22"/>
                <w:lang w:eastAsia="en-US"/>
              </w:rPr>
              <w:t>Proceso</w:t>
            </w:r>
          </w:p>
        </w:tc>
      </w:tr>
      <w:tr w:rsidRPr="00E06F76" w:rsidR="007D3B3A" w:rsidTr="00C931A0" w14:paraId="7889CA9F" w14:textId="77777777">
        <w:trPr>
          <w:trHeight w:val="554"/>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19B95F06" w14:textId="77777777">
            <w:pPr>
              <w:jc w:val="right"/>
              <w:rPr>
                <w:b w:val="0"/>
                <w:bCs w:val="0"/>
                <w:sz w:val="22"/>
                <w:szCs w:val="22"/>
                <w:lang w:eastAsia="en-US"/>
              </w:rPr>
            </w:pPr>
            <w:r w:rsidRPr="00E06F76">
              <w:rPr>
                <w:b w:val="0"/>
                <w:bCs w:val="0"/>
                <w:sz w:val="22"/>
                <w:szCs w:val="22"/>
                <w:lang w:eastAsia="en-US"/>
              </w:rPr>
              <w:t>EDM 03</w:t>
            </w:r>
          </w:p>
        </w:tc>
        <w:tc>
          <w:tcPr>
            <w:tcW w:w="3566" w:type="dxa"/>
          </w:tcPr>
          <w:p w:rsidRPr="00E06F76" w:rsidR="007D3B3A" w:rsidP="006A1400" w:rsidRDefault="007D3B3A" w14:paraId="777F1CA7"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Asegurar la Optimización del Riesgo</w:t>
            </w:r>
          </w:p>
        </w:tc>
        <w:tc>
          <w:tcPr>
            <w:tcW w:w="938" w:type="dxa"/>
          </w:tcPr>
          <w:p w:rsidRPr="00E06F76" w:rsidR="007D3B3A" w:rsidP="006A1400" w:rsidRDefault="007D3B3A" w14:paraId="627B2AB4"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BAI 05</w:t>
            </w:r>
          </w:p>
        </w:tc>
        <w:tc>
          <w:tcPr>
            <w:tcW w:w="3447" w:type="dxa"/>
          </w:tcPr>
          <w:p w:rsidRPr="00E06F76" w:rsidR="007D3B3A" w:rsidP="006A1400" w:rsidRDefault="007D3B3A" w14:paraId="2A2214EE"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los Cambios</w:t>
            </w:r>
          </w:p>
        </w:tc>
      </w:tr>
      <w:tr w:rsidRPr="00E06F76" w:rsidR="007D3B3A" w:rsidTr="00C931A0" w14:paraId="1D075AAB" w14:textId="77777777">
        <w:trPr>
          <w:trHeight w:val="554"/>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592F1FA2" w14:textId="77777777">
            <w:pPr>
              <w:jc w:val="right"/>
              <w:rPr>
                <w:b w:val="0"/>
                <w:bCs w:val="0"/>
                <w:sz w:val="22"/>
                <w:szCs w:val="22"/>
                <w:lang w:eastAsia="en-US"/>
              </w:rPr>
            </w:pPr>
            <w:r w:rsidRPr="00E06F76">
              <w:rPr>
                <w:b w:val="0"/>
                <w:bCs w:val="0"/>
                <w:sz w:val="22"/>
                <w:szCs w:val="22"/>
                <w:lang w:eastAsia="en-US"/>
              </w:rPr>
              <w:t>EMD 04</w:t>
            </w:r>
          </w:p>
        </w:tc>
        <w:tc>
          <w:tcPr>
            <w:tcW w:w="3566" w:type="dxa"/>
          </w:tcPr>
          <w:p w:rsidRPr="00E06F76" w:rsidR="007D3B3A" w:rsidP="006A1400" w:rsidRDefault="007D3B3A" w14:paraId="7FDD7D03"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Asegurar la Optimización de Recursos</w:t>
            </w:r>
          </w:p>
        </w:tc>
        <w:tc>
          <w:tcPr>
            <w:tcW w:w="938" w:type="dxa"/>
          </w:tcPr>
          <w:p w:rsidRPr="00E06F76" w:rsidR="007D3B3A" w:rsidP="006A1400" w:rsidRDefault="007D3B3A" w14:paraId="6F11E342"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BAI 08</w:t>
            </w:r>
          </w:p>
        </w:tc>
        <w:tc>
          <w:tcPr>
            <w:tcW w:w="3447" w:type="dxa"/>
          </w:tcPr>
          <w:p w:rsidRPr="00E06F76" w:rsidR="007D3B3A" w:rsidP="006A1400" w:rsidRDefault="007D3B3A" w14:paraId="1C484EE5"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Configuración</w:t>
            </w:r>
          </w:p>
        </w:tc>
      </w:tr>
      <w:tr w:rsidRPr="00E06F76" w:rsidR="007D3B3A" w:rsidTr="00C931A0" w14:paraId="2EFA7951" w14:textId="77777777">
        <w:trPr>
          <w:trHeight w:val="554"/>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3E2E23CB" w14:textId="77777777">
            <w:pPr>
              <w:jc w:val="right"/>
              <w:rPr>
                <w:b w:val="0"/>
                <w:bCs w:val="0"/>
                <w:sz w:val="22"/>
                <w:szCs w:val="22"/>
                <w:lang w:eastAsia="en-US"/>
              </w:rPr>
            </w:pPr>
            <w:r w:rsidRPr="00E06F76">
              <w:rPr>
                <w:b w:val="0"/>
                <w:bCs w:val="0"/>
                <w:sz w:val="22"/>
                <w:szCs w:val="22"/>
                <w:lang w:eastAsia="en-US"/>
              </w:rPr>
              <w:t>EDM 05</w:t>
            </w:r>
          </w:p>
        </w:tc>
        <w:tc>
          <w:tcPr>
            <w:tcW w:w="3566" w:type="dxa"/>
          </w:tcPr>
          <w:p w:rsidRPr="00E06F76" w:rsidR="007D3B3A" w:rsidP="006A1400" w:rsidRDefault="007D3B3A" w14:paraId="0B1FFC24"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Asegurar la Transparencia hacia las Partes Interesadas</w:t>
            </w:r>
          </w:p>
        </w:tc>
        <w:tc>
          <w:tcPr>
            <w:tcW w:w="938" w:type="dxa"/>
          </w:tcPr>
          <w:p w:rsidRPr="00E06F76" w:rsidR="007D3B3A" w:rsidP="006A1400" w:rsidRDefault="007D3B3A" w14:paraId="651898F0"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BAI 09</w:t>
            </w:r>
          </w:p>
        </w:tc>
        <w:tc>
          <w:tcPr>
            <w:tcW w:w="3447" w:type="dxa"/>
          </w:tcPr>
          <w:p w:rsidRPr="00E06F76" w:rsidR="007D3B3A" w:rsidP="006A1400" w:rsidRDefault="007D3B3A" w14:paraId="7BB0214D"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los Activos</w:t>
            </w:r>
          </w:p>
        </w:tc>
      </w:tr>
      <w:tr w:rsidRPr="00E06F76" w:rsidR="007D3B3A" w:rsidTr="00C931A0" w14:paraId="5F817AB6" w14:textId="77777777">
        <w:trPr>
          <w:trHeight w:val="554"/>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5A0CD318" w14:textId="77777777">
            <w:pPr>
              <w:jc w:val="right"/>
              <w:rPr>
                <w:b w:val="0"/>
                <w:bCs w:val="0"/>
                <w:sz w:val="22"/>
                <w:szCs w:val="22"/>
                <w:lang w:eastAsia="en-US"/>
              </w:rPr>
            </w:pPr>
            <w:r w:rsidRPr="00E06F76">
              <w:rPr>
                <w:b w:val="0"/>
                <w:bCs w:val="0"/>
                <w:sz w:val="22"/>
                <w:szCs w:val="22"/>
                <w:lang w:eastAsia="en-US"/>
              </w:rPr>
              <w:t>APO 08</w:t>
            </w:r>
          </w:p>
        </w:tc>
        <w:tc>
          <w:tcPr>
            <w:tcW w:w="3566" w:type="dxa"/>
          </w:tcPr>
          <w:p w:rsidRPr="00E06F76" w:rsidR="007D3B3A" w:rsidP="006A1400" w:rsidRDefault="007D3B3A" w14:paraId="390B222D"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los acuerdos de servicio</w:t>
            </w:r>
          </w:p>
        </w:tc>
        <w:tc>
          <w:tcPr>
            <w:tcW w:w="938" w:type="dxa"/>
          </w:tcPr>
          <w:p w:rsidRPr="00E06F76" w:rsidR="007D3B3A" w:rsidP="006A1400" w:rsidRDefault="007D3B3A" w14:paraId="7B2AE5BF"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01</w:t>
            </w:r>
          </w:p>
        </w:tc>
        <w:tc>
          <w:tcPr>
            <w:tcW w:w="3447" w:type="dxa"/>
          </w:tcPr>
          <w:p w:rsidRPr="00E06F76" w:rsidR="007D3B3A" w:rsidP="006A1400" w:rsidRDefault="007D3B3A" w14:paraId="37BCC294"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Operaciones</w:t>
            </w:r>
          </w:p>
        </w:tc>
      </w:tr>
      <w:tr w:rsidRPr="00E06F76" w:rsidR="007D3B3A" w:rsidTr="00C931A0" w14:paraId="5108BA1C" w14:textId="77777777">
        <w:trPr>
          <w:trHeight w:val="542"/>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054D74E2" w14:textId="77777777">
            <w:pPr>
              <w:jc w:val="right"/>
              <w:rPr>
                <w:b w:val="0"/>
                <w:bCs w:val="0"/>
                <w:sz w:val="22"/>
                <w:szCs w:val="22"/>
                <w:lang w:eastAsia="en-US"/>
              </w:rPr>
            </w:pPr>
            <w:r w:rsidRPr="00E06F76">
              <w:rPr>
                <w:b w:val="0"/>
                <w:bCs w:val="0"/>
                <w:sz w:val="22"/>
                <w:szCs w:val="22"/>
                <w:lang w:eastAsia="en-US"/>
              </w:rPr>
              <w:t>APO 11</w:t>
            </w:r>
          </w:p>
        </w:tc>
        <w:tc>
          <w:tcPr>
            <w:tcW w:w="3566" w:type="dxa"/>
          </w:tcPr>
          <w:p w:rsidRPr="00E06F76" w:rsidR="007D3B3A" w:rsidP="006A1400" w:rsidRDefault="007D3B3A" w14:paraId="0789B0A3"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el Riesgo</w:t>
            </w:r>
          </w:p>
        </w:tc>
        <w:tc>
          <w:tcPr>
            <w:tcW w:w="938" w:type="dxa"/>
          </w:tcPr>
          <w:p w:rsidRPr="00E06F76" w:rsidR="007D3B3A" w:rsidP="006A1400" w:rsidRDefault="007D3B3A" w14:paraId="484A08F9"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02</w:t>
            </w:r>
          </w:p>
        </w:tc>
        <w:tc>
          <w:tcPr>
            <w:tcW w:w="3447" w:type="dxa"/>
          </w:tcPr>
          <w:p w:rsidRPr="00E06F76" w:rsidR="007D3B3A" w:rsidP="006A1400" w:rsidRDefault="007D3B3A" w14:paraId="5B47154B"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Peticiones e Incidentes de Servicio</w:t>
            </w:r>
          </w:p>
        </w:tc>
      </w:tr>
      <w:tr w:rsidRPr="00E06F76" w:rsidR="007D3B3A" w:rsidTr="00C931A0" w14:paraId="215B97D9" w14:textId="77777777">
        <w:trPr>
          <w:trHeight w:val="283"/>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56D8922C" w14:textId="77777777">
            <w:pPr>
              <w:jc w:val="right"/>
              <w:rPr>
                <w:b w:val="0"/>
                <w:bCs w:val="0"/>
                <w:sz w:val="22"/>
                <w:szCs w:val="22"/>
                <w:lang w:eastAsia="en-US"/>
              </w:rPr>
            </w:pPr>
            <w:r w:rsidRPr="00E06F76">
              <w:rPr>
                <w:b w:val="0"/>
                <w:bCs w:val="0"/>
                <w:sz w:val="22"/>
                <w:szCs w:val="22"/>
                <w:lang w:eastAsia="en-US"/>
              </w:rPr>
              <w:t>APO 12</w:t>
            </w:r>
          </w:p>
        </w:tc>
        <w:tc>
          <w:tcPr>
            <w:tcW w:w="3566" w:type="dxa"/>
          </w:tcPr>
          <w:p w:rsidRPr="00E06F76" w:rsidR="007D3B3A" w:rsidP="006A1400" w:rsidRDefault="007D3B3A" w14:paraId="4D6C7F32"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Seguridad</w:t>
            </w:r>
          </w:p>
        </w:tc>
        <w:tc>
          <w:tcPr>
            <w:tcW w:w="938" w:type="dxa"/>
          </w:tcPr>
          <w:p w:rsidRPr="00E06F76" w:rsidR="007D3B3A" w:rsidP="006A1400" w:rsidRDefault="007D3B3A" w14:paraId="56587981"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03</w:t>
            </w:r>
          </w:p>
        </w:tc>
        <w:tc>
          <w:tcPr>
            <w:tcW w:w="3447" w:type="dxa"/>
          </w:tcPr>
          <w:p w:rsidRPr="00E06F76" w:rsidR="007D3B3A" w:rsidP="006A1400" w:rsidRDefault="007D3B3A" w14:paraId="1B3A29A0"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Problemas</w:t>
            </w:r>
          </w:p>
        </w:tc>
      </w:tr>
      <w:tr w:rsidRPr="00E06F76" w:rsidR="007D3B3A" w:rsidTr="00C931A0" w14:paraId="096E111B" w14:textId="77777777">
        <w:trPr>
          <w:trHeight w:val="542"/>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51DD2690" w14:textId="77777777">
            <w:pPr>
              <w:jc w:val="right"/>
              <w:rPr>
                <w:b w:val="0"/>
                <w:bCs w:val="0"/>
                <w:sz w:val="22"/>
                <w:szCs w:val="22"/>
                <w:lang w:eastAsia="en-US"/>
              </w:rPr>
            </w:pPr>
            <w:r w:rsidRPr="00E06F76">
              <w:rPr>
                <w:b w:val="0"/>
                <w:bCs w:val="0"/>
                <w:sz w:val="22"/>
                <w:szCs w:val="22"/>
                <w:lang w:eastAsia="en-US"/>
              </w:rPr>
              <w:t>BAI 01</w:t>
            </w:r>
          </w:p>
        </w:tc>
        <w:tc>
          <w:tcPr>
            <w:tcW w:w="3566" w:type="dxa"/>
          </w:tcPr>
          <w:p w:rsidRPr="00E06F76" w:rsidR="007D3B3A" w:rsidP="006A1400" w:rsidRDefault="007D3B3A" w14:paraId="2C1D4E23"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Gestión de Programas y Proyectos</w:t>
            </w:r>
          </w:p>
        </w:tc>
        <w:tc>
          <w:tcPr>
            <w:tcW w:w="938" w:type="dxa"/>
          </w:tcPr>
          <w:p w:rsidRPr="00E06F76" w:rsidR="007D3B3A" w:rsidP="006A1400" w:rsidRDefault="007D3B3A" w14:paraId="7B4B56CC"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04</w:t>
            </w:r>
          </w:p>
        </w:tc>
        <w:tc>
          <w:tcPr>
            <w:tcW w:w="3447" w:type="dxa"/>
          </w:tcPr>
          <w:p w:rsidRPr="00E06F76" w:rsidR="007D3B3A" w:rsidP="006A1400" w:rsidRDefault="007D3B3A" w14:paraId="144DD842"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Continuidad</w:t>
            </w:r>
          </w:p>
        </w:tc>
      </w:tr>
      <w:tr w:rsidRPr="00E06F76" w:rsidR="007D3B3A" w:rsidTr="00C931A0" w14:paraId="193B336A" w14:textId="77777777">
        <w:trPr>
          <w:trHeight w:val="554"/>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5E92E3F7" w14:textId="77777777">
            <w:pPr>
              <w:jc w:val="right"/>
              <w:rPr>
                <w:b w:val="0"/>
                <w:bCs w:val="0"/>
                <w:sz w:val="22"/>
                <w:szCs w:val="22"/>
                <w:lang w:eastAsia="en-US"/>
              </w:rPr>
            </w:pPr>
            <w:r w:rsidRPr="00E06F76">
              <w:rPr>
                <w:b w:val="0"/>
                <w:bCs w:val="0"/>
                <w:sz w:val="22"/>
                <w:szCs w:val="22"/>
                <w:lang w:eastAsia="en-US"/>
              </w:rPr>
              <w:t>BAI 03</w:t>
            </w:r>
          </w:p>
        </w:tc>
        <w:tc>
          <w:tcPr>
            <w:tcW w:w="3566" w:type="dxa"/>
          </w:tcPr>
          <w:p w:rsidRPr="00E06F76" w:rsidR="007D3B3A" w:rsidP="006A1400" w:rsidRDefault="007D3B3A" w14:paraId="44406C8C"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Identificación y Construcción de Soluciones</w:t>
            </w:r>
          </w:p>
        </w:tc>
        <w:tc>
          <w:tcPr>
            <w:tcW w:w="938" w:type="dxa"/>
          </w:tcPr>
          <w:p w:rsidRPr="00E06F76" w:rsidR="007D3B3A" w:rsidP="006A1400" w:rsidRDefault="007D3B3A" w14:paraId="76910D53"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05</w:t>
            </w:r>
          </w:p>
        </w:tc>
        <w:tc>
          <w:tcPr>
            <w:tcW w:w="3447" w:type="dxa"/>
          </w:tcPr>
          <w:p w:rsidRPr="00E06F76" w:rsidR="007D3B3A" w:rsidP="006A1400" w:rsidRDefault="007D3B3A" w14:paraId="35B91A85"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Servicios de Seguridad</w:t>
            </w:r>
          </w:p>
        </w:tc>
      </w:tr>
      <w:tr w:rsidRPr="00E06F76" w:rsidR="007D3B3A" w:rsidTr="00C931A0" w14:paraId="7322A674" w14:textId="77777777">
        <w:trPr>
          <w:trHeight w:val="554"/>
        </w:trPr>
        <w:tc>
          <w:tcPr>
            <w:cnfStyle w:val="001000000000" w:firstRow="0" w:lastRow="0" w:firstColumn="1" w:lastColumn="0" w:oddVBand="0" w:evenVBand="0" w:oddHBand="0" w:evenHBand="0" w:firstRowFirstColumn="0" w:firstRowLastColumn="0" w:lastRowFirstColumn="0" w:lastRowLastColumn="0"/>
            <w:tcW w:w="1121" w:type="dxa"/>
          </w:tcPr>
          <w:p w:rsidRPr="00E06F76" w:rsidR="007D3B3A" w:rsidP="006A1400" w:rsidRDefault="007D3B3A" w14:paraId="0F302DD9" w14:textId="77777777">
            <w:pPr>
              <w:jc w:val="right"/>
              <w:rPr>
                <w:b w:val="0"/>
                <w:bCs w:val="0"/>
                <w:sz w:val="22"/>
                <w:szCs w:val="22"/>
                <w:lang w:eastAsia="en-US"/>
              </w:rPr>
            </w:pPr>
            <w:r w:rsidRPr="00E06F76">
              <w:rPr>
                <w:b w:val="0"/>
                <w:bCs w:val="0"/>
                <w:sz w:val="22"/>
                <w:szCs w:val="22"/>
                <w:lang w:eastAsia="en-US"/>
              </w:rPr>
              <w:t>BAI 04</w:t>
            </w:r>
          </w:p>
        </w:tc>
        <w:tc>
          <w:tcPr>
            <w:tcW w:w="3566" w:type="dxa"/>
          </w:tcPr>
          <w:p w:rsidRPr="00E06F76" w:rsidR="007D3B3A" w:rsidP="006A1400" w:rsidRDefault="007D3B3A" w14:paraId="465B841F"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la Disponibilidad y la Capacidad</w:t>
            </w:r>
          </w:p>
        </w:tc>
        <w:tc>
          <w:tcPr>
            <w:tcW w:w="938" w:type="dxa"/>
          </w:tcPr>
          <w:p w:rsidRPr="00E06F76" w:rsidR="007D3B3A" w:rsidP="006A1400" w:rsidRDefault="007D3B3A" w14:paraId="3FE86C22" w14:textId="77777777">
            <w:pPr>
              <w:jc w:val="right"/>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DSS 06</w:t>
            </w:r>
          </w:p>
        </w:tc>
        <w:tc>
          <w:tcPr>
            <w:tcW w:w="3447" w:type="dxa"/>
          </w:tcPr>
          <w:p w:rsidRPr="00E06F76" w:rsidR="007D3B3A" w:rsidP="006A1400" w:rsidRDefault="007D3B3A" w14:paraId="52892A25" w14:textId="77777777">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06F76">
              <w:rPr>
                <w:sz w:val="22"/>
                <w:szCs w:val="22"/>
                <w:lang w:eastAsia="en-US"/>
              </w:rPr>
              <w:t>Gestionar Controles de Proceso de Negocio</w:t>
            </w:r>
          </w:p>
        </w:tc>
      </w:tr>
    </w:tbl>
    <w:p w:rsidRPr="00FC21F0" w:rsidR="007D3B3A" w:rsidP="007D3B3A" w:rsidRDefault="007D3B3A" w14:paraId="1358A841" w14:textId="77777777">
      <w:pPr>
        <w:rPr>
          <w:sz w:val="16"/>
          <w:szCs w:val="16"/>
        </w:rPr>
      </w:pPr>
      <w:r w:rsidRPr="00FC21F0">
        <w:rPr>
          <w:sz w:val="16"/>
          <w:szCs w:val="16"/>
        </w:rPr>
        <w:t xml:space="preserve">Esta tabla se fundamenta en COBIT 5, en caso de usar COBIT 2019 se deben utilizar los equivalentes. </w:t>
      </w:r>
    </w:p>
    <w:p w:rsidR="007D3B3A" w:rsidP="007D3B3A" w:rsidRDefault="007D3B3A" w14:paraId="4B3B7FAF" w14:textId="77777777">
      <w:pPr>
        <w:spacing w:line="240" w:lineRule="auto"/>
        <w:ind w:left="1066"/>
        <w:rPr>
          <w:sz w:val="24"/>
        </w:rPr>
      </w:pPr>
    </w:p>
    <w:p w:rsidR="007D3B3A" w:rsidP="007D3B3A" w:rsidRDefault="007D3B3A" w14:paraId="449E2DA6" w14:textId="6EE88385">
      <w:pPr>
        <w:spacing w:line="240" w:lineRule="auto"/>
        <w:ind w:left="1066"/>
        <w:rPr>
          <w:sz w:val="24"/>
        </w:rPr>
      </w:pPr>
      <w:r>
        <w:rPr>
          <w:sz w:val="24"/>
        </w:rPr>
        <w:t>A</w:t>
      </w:r>
      <w:r w:rsidR="004C0778">
        <w:rPr>
          <w:sz w:val="24"/>
        </w:rPr>
        <w:t>demás</w:t>
      </w:r>
      <w:r w:rsidRPr="00FC21F0">
        <w:rPr>
          <w:sz w:val="24"/>
        </w:rPr>
        <w:t>, el auditor externo de TI debe considerar en su evaluación la revisión de los siguientes lineamientos:</w:t>
      </w:r>
    </w:p>
    <w:p w:rsidRPr="00FC21F0" w:rsidR="007D3B3A" w:rsidP="007D3B3A" w:rsidRDefault="007D3B3A" w14:paraId="034A0151" w14:textId="77777777">
      <w:pPr>
        <w:spacing w:line="240" w:lineRule="auto"/>
        <w:ind w:left="1066"/>
        <w:rPr>
          <w:sz w:val="24"/>
        </w:rPr>
      </w:pPr>
    </w:p>
    <w:p w:rsidR="007D3B3A" w:rsidP="007D3B3A" w:rsidRDefault="007D3B3A" w14:paraId="492122E4" w14:textId="77777777">
      <w:pPr>
        <w:pStyle w:val="Prrafodelista"/>
        <w:numPr>
          <w:ilvl w:val="3"/>
          <w:numId w:val="8"/>
        </w:numPr>
        <w:spacing w:line="240" w:lineRule="auto"/>
        <w:ind w:left="1418" w:hanging="142"/>
        <w:jc w:val="both"/>
        <w:rPr>
          <w:rFonts w:ascii="Cambria" w:hAnsi="Cambria"/>
          <w:sz w:val="24"/>
          <w:szCs w:val="24"/>
        </w:rPr>
      </w:pPr>
      <w:r w:rsidRPr="00504213">
        <w:rPr>
          <w:rFonts w:ascii="Cambria" w:hAnsi="Cambria"/>
          <w:sz w:val="24"/>
          <w:szCs w:val="24"/>
        </w:rPr>
        <w:t>Determinar el perfil tecnológico de la entidad: Descripción de la estructura organizacional, los procesos y la infraestructura de TI del sujeto obligado, así como, del nivel de automatización de sus procesos de negocio y gestión del riesgo.</w:t>
      </w:r>
    </w:p>
    <w:p w:rsidRPr="00504213" w:rsidR="007D3B3A" w:rsidP="007D3B3A" w:rsidRDefault="007D3B3A" w14:paraId="174473F4" w14:textId="77777777">
      <w:pPr>
        <w:pStyle w:val="Prrafodelista"/>
        <w:spacing w:line="240" w:lineRule="auto"/>
        <w:ind w:left="1418"/>
        <w:jc w:val="both"/>
        <w:rPr>
          <w:rFonts w:ascii="Cambria" w:hAnsi="Cambria"/>
          <w:sz w:val="24"/>
          <w:szCs w:val="24"/>
        </w:rPr>
      </w:pPr>
    </w:p>
    <w:p w:rsidRPr="00FC21F0" w:rsidR="007D3B3A" w:rsidP="007D3B3A" w:rsidRDefault="007D3B3A" w14:paraId="38210A11" w14:textId="77777777">
      <w:pPr>
        <w:pStyle w:val="Prrafodelista"/>
        <w:numPr>
          <w:ilvl w:val="3"/>
          <w:numId w:val="8"/>
        </w:numPr>
        <w:spacing w:line="240" w:lineRule="auto"/>
        <w:ind w:left="1418" w:hanging="142"/>
        <w:jc w:val="both"/>
        <w:rPr>
          <w:rFonts w:ascii="Cambria" w:hAnsi="Cambria"/>
          <w:sz w:val="24"/>
          <w:szCs w:val="24"/>
        </w:rPr>
      </w:pPr>
      <w:r w:rsidRPr="00FC21F0">
        <w:rPr>
          <w:rFonts w:ascii="Cambria" w:hAnsi="Cambria"/>
          <w:sz w:val="24"/>
          <w:szCs w:val="24"/>
        </w:rPr>
        <w:t xml:space="preserve">Verificar si la entidad cuenta con una adecuada gestión del riesgo de TI y controles para la protección de los datos. </w:t>
      </w:r>
    </w:p>
    <w:p w:rsidR="00E06F76" w:rsidP="00E06F76" w:rsidRDefault="00E06F76" w14:paraId="08C774FC" w14:textId="77777777">
      <w:pPr>
        <w:pStyle w:val="Default"/>
        <w:jc w:val="both"/>
        <w:rPr>
          <w:rFonts w:ascii="Cambria" w:hAnsi="Cambria" w:cstheme="minorBidi"/>
          <w:color w:val="auto"/>
        </w:rPr>
      </w:pPr>
    </w:p>
    <w:p w:rsidR="00E06F76" w:rsidP="00186D87" w:rsidRDefault="00E06F76" w14:paraId="340CCE8C" w14:textId="74E28ECF">
      <w:pPr>
        <w:pStyle w:val="Default"/>
        <w:ind w:left="1134"/>
        <w:jc w:val="both"/>
        <w:rPr>
          <w:rFonts w:ascii="Cambria" w:hAnsi="Cambria" w:cstheme="minorBidi"/>
          <w:color w:val="auto"/>
        </w:rPr>
      </w:pPr>
      <w:r>
        <w:rPr>
          <w:rFonts w:ascii="Cambria" w:hAnsi="Cambria" w:cstheme="minorBidi"/>
          <w:color w:val="auto"/>
        </w:rPr>
        <w:t xml:space="preserve">El informe del Auditor Externo debe referirse a la gestión de los riesgos de TI </w:t>
      </w:r>
      <w:r w:rsidRPr="00AD24E3">
        <w:rPr>
          <w:rFonts w:ascii="Cambria" w:hAnsi="Cambria" w:cstheme="minorBidi"/>
          <w:color w:val="auto"/>
          <w:u w:val="single"/>
        </w:rPr>
        <w:t>sobre cada uno de los criterios anteriores</w:t>
      </w:r>
      <w:r>
        <w:rPr>
          <w:rFonts w:ascii="Cambria" w:hAnsi="Cambria" w:cstheme="minorBidi"/>
          <w:color w:val="auto"/>
        </w:rPr>
        <w:t xml:space="preserve">, cuyo resultado debe ser calificado según la siguiente escala: </w:t>
      </w:r>
    </w:p>
    <w:p w:rsidR="00E06F76" w:rsidP="00E06F76" w:rsidRDefault="00E06F76" w14:paraId="6A5CAD2B" w14:textId="77777777">
      <w:pPr>
        <w:pStyle w:val="Default"/>
        <w:ind w:left="1788"/>
        <w:jc w:val="both"/>
        <w:rPr>
          <w:rFonts w:ascii="Cambria" w:hAnsi="Cambria" w:cstheme="minorBidi"/>
          <w:color w:val="auto"/>
        </w:rPr>
      </w:pPr>
    </w:p>
    <w:p w:rsidRPr="00BE49AA" w:rsidR="00E06F76" w:rsidP="00CF11EE" w:rsidRDefault="00E06F76" w14:paraId="006C4270" w14:textId="38AB3DB4">
      <w:pPr>
        <w:pStyle w:val="Default"/>
        <w:ind w:left="1134"/>
        <w:jc w:val="both"/>
        <w:rPr>
          <w:rFonts w:ascii="Cambria" w:hAnsi="Cambria" w:cstheme="minorBidi"/>
          <w:color w:val="auto"/>
          <w:sz w:val="22"/>
          <w:szCs w:val="22"/>
        </w:rPr>
      </w:pPr>
      <w:r w:rsidRPr="00BE49AA">
        <w:rPr>
          <w:rFonts w:ascii="Cambria" w:hAnsi="Cambria" w:cstheme="minorBidi"/>
          <w:b/>
          <w:bCs/>
          <w:color w:val="auto"/>
          <w:sz w:val="22"/>
          <w:szCs w:val="22"/>
        </w:rPr>
        <w:lastRenderedPageBreak/>
        <w:t>Fuerte</w:t>
      </w:r>
      <w:r w:rsidRPr="00BE49AA">
        <w:rPr>
          <w:rFonts w:ascii="Cambria" w:hAnsi="Cambria" w:cstheme="minorBidi"/>
          <w:color w:val="auto"/>
          <w:sz w:val="22"/>
          <w:szCs w:val="22"/>
        </w:rPr>
        <w:t xml:space="preserve">: </w:t>
      </w:r>
      <w:r w:rsidRPr="00BE49AA">
        <w:rPr>
          <w:rFonts w:ascii="Cambria" w:hAnsi="Cambria"/>
          <w:sz w:val="22"/>
          <w:szCs w:val="22"/>
        </w:rPr>
        <w:t>Las características de la función tales como las responsabilidades, estructura, recursos, metodologías y prácticas, superan lo que se considera necesario, dada la naturaleza, complejidad y perfil de riesgo de la entidad y su desempeño ha sido altamente efectivo y consistente.</w:t>
      </w:r>
    </w:p>
    <w:p w:rsidRPr="00BE49AA" w:rsidR="00E06F76" w:rsidP="00CF11EE" w:rsidRDefault="00AD24E3" w14:paraId="543D60CF" w14:textId="29A89562">
      <w:pPr>
        <w:pStyle w:val="Default"/>
        <w:ind w:left="1134"/>
        <w:jc w:val="both"/>
        <w:rPr>
          <w:rFonts w:ascii="Cambria" w:hAnsi="Cambria" w:cstheme="minorBidi"/>
          <w:color w:val="auto"/>
          <w:sz w:val="22"/>
          <w:szCs w:val="22"/>
        </w:rPr>
      </w:pPr>
      <w:r w:rsidRPr="00BE49AA">
        <w:rPr>
          <w:rFonts w:ascii="Cambria" w:hAnsi="Cambria" w:cstheme="minorBidi"/>
          <w:b/>
          <w:bCs/>
          <w:color w:val="auto"/>
          <w:sz w:val="22"/>
          <w:szCs w:val="22"/>
        </w:rPr>
        <w:t>Aceptable</w:t>
      </w:r>
      <w:r w:rsidRPr="00BE49AA" w:rsidR="00E06F76">
        <w:rPr>
          <w:rFonts w:ascii="Cambria" w:hAnsi="Cambria" w:cstheme="minorBidi"/>
          <w:color w:val="auto"/>
          <w:sz w:val="22"/>
          <w:szCs w:val="22"/>
        </w:rPr>
        <w:t xml:space="preserve">: </w:t>
      </w:r>
      <w:r w:rsidRPr="00BE49AA">
        <w:rPr>
          <w:rFonts w:ascii="Cambria" w:hAnsi="Cambria"/>
          <w:sz w:val="22"/>
          <w:szCs w:val="22"/>
        </w:rPr>
        <w:t>Las características de la función tales como las responsabilidades, estructura, recursos, metodologías y prácticas, cumplen con lo que se considera necesario, dada la naturaleza, complejidad y perfil de riesgo de la entidad y su desempeño ha sido altamente efectivo y consistente.</w:t>
      </w:r>
    </w:p>
    <w:p w:rsidRPr="00BE49AA" w:rsidR="00E06F76" w:rsidP="00CF11EE" w:rsidRDefault="00AD24E3" w14:paraId="51B7BFCA" w14:textId="5AF93A91">
      <w:pPr>
        <w:pStyle w:val="Default"/>
        <w:ind w:left="1134"/>
        <w:jc w:val="both"/>
        <w:rPr>
          <w:rFonts w:ascii="Cambria" w:hAnsi="Cambria" w:cstheme="minorBidi"/>
          <w:color w:val="auto"/>
          <w:sz w:val="22"/>
          <w:szCs w:val="22"/>
        </w:rPr>
      </w:pPr>
      <w:r w:rsidRPr="00BE49AA">
        <w:rPr>
          <w:rFonts w:ascii="Cambria" w:hAnsi="Cambria" w:cstheme="minorBidi"/>
          <w:b/>
          <w:bCs/>
          <w:color w:val="auto"/>
          <w:sz w:val="22"/>
          <w:szCs w:val="22"/>
        </w:rPr>
        <w:t>Mejorable</w:t>
      </w:r>
      <w:r w:rsidRPr="00BE49AA" w:rsidR="00E06F76">
        <w:rPr>
          <w:rFonts w:ascii="Cambria" w:hAnsi="Cambria" w:cstheme="minorBidi"/>
          <w:b/>
          <w:bCs/>
          <w:color w:val="auto"/>
          <w:sz w:val="22"/>
          <w:szCs w:val="22"/>
        </w:rPr>
        <w:t>:</w:t>
      </w:r>
      <w:r w:rsidRPr="00BE49AA" w:rsidR="00E06F76">
        <w:rPr>
          <w:rFonts w:ascii="Cambria" w:hAnsi="Cambria" w:cstheme="minorBidi"/>
          <w:color w:val="auto"/>
          <w:sz w:val="22"/>
          <w:szCs w:val="22"/>
        </w:rPr>
        <w:t xml:space="preserve"> </w:t>
      </w:r>
      <w:r w:rsidRPr="00BE49AA">
        <w:rPr>
          <w:rFonts w:ascii="Cambria" w:hAnsi="Cambria"/>
          <w:sz w:val="22"/>
          <w:szCs w:val="22"/>
        </w:rPr>
        <w:t xml:space="preserve">Las características de la función tales como las responsabilidades, estructura, recursos, metodologías y prácticas, generalmente cumplen con lo que se considera necesario, dada la naturaleza, complejidad y perfil de riesgo de la entidad. El desempeño de la </w:t>
      </w:r>
      <w:proofErr w:type="spellStart"/>
      <w:r w:rsidRPr="00BE49AA">
        <w:rPr>
          <w:rFonts w:ascii="Cambria" w:hAnsi="Cambria"/>
          <w:sz w:val="22"/>
          <w:szCs w:val="22"/>
        </w:rPr>
        <w:t>funsión</w:t>
      </w:r>
      <w:proofErr w:type="spellEnd"/>
      <w:r w:rsidRPr="00BE49AA">
        <w:rPr>
          <w:rFonts w:ascii="Cambria" w:hAnsi="Cambria"/>
          <w:sz w:val="22"/>
          <w:szCs w:val="22"/>
        </w:rPr>
        <w:t xml:space="preserve"> ha sido generalmente efectivo, pero existen áreas que necesitan mejoras</w:t>
      </w:r>
      <w:r w:rsidRPr="00BE49AA" w:rsidR="00E06F76">
        <w:rPr>
          <w:rFonts w:ascii="Cambria" w:hAnsi="Cambria" w:cstheme="minorBidi"/>
          <w:color w:val="auto"/>
          <w:sz w:val="22"/>
          <w:szCs w:val="22"/>
        </w:rPr>
        <w:t>.</w:t>
      </w:r>
    </w:p>
    <w:p w:rsidRPr="00BE49AA" w:rsidR="00E06F76" w:rsidP="00CF11EE" w:rsidRDefault="00AD24E3" w14:paraId="11457E7B" w14:textId="49E582C3">
      <w:pPr>
        <w:pStyle w:val="Default"/>
        <w:ind w:left="1134"/>
        <w:jc w:val="both"/>
        <w:rPr>
          <w:rFonts w:ascii="Cambria" w:hAnsi="Cambria" w:cstheme="minorBidi"/>
          <w:color w:val="auto"/>
          <w:sz w:val="22"/>
          <w:szCs w:val="22"/>
        </w:rPr>
      </w:pPr>
      <w:r w:rsidRPr="00BE49AA">
        <w:rPr>
          <w:rFonts w:ascii="Cambria" w:hAnsi="Cambria" w:cstheme="minorBidi"/>
          <w:b/>
          <w:bCs/>
          <w:color w:val="auto"/>
          <w:sz w:val="22"/>
          <w:szCs w:val="22"/>
        </w:rPr>
        <w:t>Débil</w:t>
      </w:r>
      <w:r w:rsidRPr="00BE49AA" w:rsidR="00E06F76">
        <w:rPr>
          <w:rFonts w:ascii="Cambria" w:hAnsi="Cambria" w:cstheme="minorBidi"/>
          <w:b/>
          <w:bCs/>
          <w:color w:val="auto"/>
          <w:sz w:val="22"/>
          <w:szCs w:val="22"/>
        </w:rPr>
        <w:t>:</w:t>
      </w:r>
      <w:r w:rsidRPr="00BE49AA" w:rsidR="00E06F76">
        <w:rPr>
          <w:rFonts w:ascii="Cambria" w:hAnsi="Cambria" w:cstheme="minorBidi"/>
          <w:color w:val="auto"/>
          <w:sz w:val="22"/>
          <w:szCs w:val="22"/>
        </w:rPr>
        <w:t xml:space="preserve"> </w:t>
      </w:r>
      <w:r w:rsidRPr="00BE49AA">
        <w:rPr>
          <w:rFonts w:ascii="Cambria" w:hAnsi="Cambria"/>
          <w:sz w:val="22"/>
          <w:szCs w:val="22"/>
        </w:rPr>
        <w:t xml:space="preserve">Las características de la función tales como las responsabilidades, estructura, recursos, metodologías y prácticas, no cumplen de manera significativa con lo que se considera necesario, dada la naturaleza, complejidad y perfil de riesgo de la entidad. El desempeño de la </w:t>
      </w:r>
      <w:proofErr w:type="spellStart"/>
      <w:r w:rsidRPr="00BE49AA">
        <w:rPr>
          <w:rFonts w:ascii="Cambria" w:hAnsi="Cambria"/>
          <w:sz w:val="22"/>
          <w:szCs w:val="22"/>
        </w:rPr>
        <w:t>funsión</w:t>
      </w:r>
      <w:proofErr w:type="spellEnd"/>
      <w:r w:rsidRPr="00BE49AA">
        <w:rPr>
          <w:rFonts w:ascii="Cambria" w:hAnsi="Cambria"/>
          <w:sz w:val="22"/>
          <w:szCs w:val="22"/>
        </w:rPr>
        <w:t xml:space="preserve"> ha demostrado serias debilidades</w:t>
      </w:r>
      <w:r w:rsidRPr="00BE49AA" w:rsidR="00E06F76">
        <w:rPr>
          <w:rFonts w:ascii="Cambria" w:hAnsi="Cambria" w:cstheme="minorBidi"/>
          <w:color w:val="auto"/>
          <w:sz w:val="22"/>
          <w:szCs w:val="22"/>
        </w:rPr>
        <w:t>.</w:t>
      </w:r>
    </w:p>
    <w:p w:rsidR="00E06F76" w:rsidP="007D3B3A" w:rsidRDefault="00E06F76" w14:paraId="280564D1" w14:textId="77777777">
      <w:pPr>
        <w:spacing w:line="240" w:lineRule="auto"/>
        <w:ind w:left="1068"/>
        <w:rPr>
          <w:sz w:val="24"/>
        </w:rPr>
      </w:pPr>
    </w:p>
    <w:p w:rsidRPr="007A534F" w:rsidR="007A534F" w:rsidP="007D3B3A" w:rsidRDefault="007A534F" w14:paraId="2696E920" w14:textId="758C0B94">
      <w:pPr>
        <w:spacing w:line="240" w:lineRule="auto"/>
        <w:ind w:left="1068"/>
        <w:rPr>
          <w:sz w:val="24"/>
        </w:rPr>
      </w:pPr>
      <w:r w:rsidRPr="007A534F">
        <w:rPr>
          <w:rFonts w:cstheme="minorBidi"/>
          <w:sz w:val="24"/>
        </w:rPr>
        <w:t>En cada caso, la calificación asignada a cada criterio debe acompañarse de la fundamentación correspondiente, refiriéndose a las fortalezas o debilidades identificadas.</w:t>
      </w:r>
    </w:p>
    <w:p w:rsidR="007A534F" w:rsidP="007D3B3A" w:rsidRDefault="007A534F" w14:paraId="1A09659E" w14:textId="77777777">
      <w:pPr>
        <w:spacing w:line="240" w:lineRule="auto"/>
        <w:ind w:left="1068"/>
        <w:rPr>
          <w:sz w:val="24"/>
        </w:rPr>
      </w:pPr>
    </w:p>
    <w:p w:rsidRPr="00FC21F0" w:rsidR="007D3B3A" w:rsidP="004C0778" w:rsidRDefault="007D3B3A" w14:paraId="668C1161" w14:textId="067A39D5">
      <w:pPr>
        <w:spacing w:line="240" w:lineRule="auto"/>
        <w:ind w:left="993"/>
        <w:rPr>
          <w:sz w:val="24"/>
        </w:rPr>
      </w:pPr>
      <w:r w:rsidRPr="00FC21F0">
        <w:rPr>
          <w:sz w:val="24"/>
        </w:rPr>
        <w:t>Cuando la unidad de TI no forme parte de la entidad supervisada o cuando existan proveedores de TI, la entidad debe establecer un contrato con esa unidad de TI, en la que deben observarse los instrumentos legales en que se pacten los servicios de TI, los cuales deben indicarse en la certificación.</w:t>
      </w:r>
    </w:p>
    <w:p w:rsidR="007D3B3A" w:rsidP="004C0778" w:rsidRDefault="007D3B3A" w14:paraId="2683A2F6" w14:textId="77777777">
      <w:pPr>
        <w:spacing w:line="240" w:lineRule="auto"/>
        <w:ind w:left="993"/>
        <w:rPr>
          <w:sz w:val="24"/>
        </w:rPr>
      </w:pPr>
    </w:p>
    <w:p w:rsidR="007D3B3A" w:rsidP="004C0778" w:rsidRDefault="007D3B3A" w14:paraId="230F8059" w14:textId="4490A48C">
      <w:pPr>
        <w:spacing w:line="240" w:lineRule="auto"/>
        <w:ind w:left="993"/>
        <w:rPr>
          <w:sz w:val="24"/>
        </w:rPr>
      </w:pPr>
      <w:r w:rsidRPr="00FC21F0">
        <w:rPr>
          <w:sz w:val="24"/>
        </w:rPr>
        <w:t>Cuando las bases de datos o las aplicaciones vigentes que procesan o dan accesos a estas bases de datos, se mantengan en la nube, deben cumplir con los requisitos legales, de seguridad y de acceso a los datos para el supervisor en caso de requerirlo. Estos elementos deberán indicarse en el informe.</w:t>
      </w:r>
    </w:p>
    <w:p w:rsidR="00FE352D" w:rsidP="004C0778" w:rsidRDefault="00FE352D" w14:paraId="7C057236" w14:textId="77FB7C46">
      <w:pPr>
        <w:spacing w:line="240" w:lineRule="auto"/>
        <w:ind w:left="993"/>
        <w:rPr>
          <w:sz w:val="24"/>
        </w:rPr>
      </w:pPr>
    </w:p>
    <w:p w:rsidR="00FE352D" w:rsidP="004C0778" w:rsidRDefault="00FE352D" w14:paraId="05DB709C" w14:textId="0605390A">
      <w:pPr>
        <w:spacing w:line="240" w:lineRule="auto"/>
        <w:ind w:left="993"/>
        <w:rPr>
          <w:sz w:val="24"/>
        </w:rPr>
      </w:pPr>
      <w:r>
        <w:rPr>
          <w:sz w:val="24"/>
        </w:rPr>
        <w:t xml:space="preserve">En caso de que el sujeto obligado ya cuente con </w:t>
      </w:r>
      <w:r w:rsidR="00F54371">
        <w:rPr>
          <w:sz w:val="24"/>
        </w:rPr>
        <w:t>una</w:t>
      </w:r>
      <w:r>
        <w:rPr>
          <w:sz w:val="24"/>
        </w:rPr>
        <w:t xml:space="preserve"> certificación emitida por un organismo o entidad reconocida internacionalmente</w:t>
      </w:r>
      <w:r w:rsidR="00A22A26">
        <w:rPr>
          <w:sz w:val="24"/>
        </w:rPr>
        <w:t xml:space="preserve"> (lo cual deberá demostrar de esa manera)</w:t>
      </w:r>
      <w:r>
        <w:rPr>
          <w:sz w:val="24"/>
        </w:rPr>
        <w:t>, podrá solicitar su reconocimiento ante la SUGEF, en sustitución del informe de auditor CISA requerido. No obstante, para esto deberá hacer la solicitud ante la SUGEF, demo</w:t>
      </w:r>
      <w:r w:rsidR="00A22A26">
        <w:rPr>
          <w:sz w:val="24"/>
        </w:rPr>
        <w:t>s</w:t>
      </w:r>
      <w:r>
        <w:rPr>
          <w:sz w:val="24"/>
        </w:rPr>
        <w:t xml:space="preserve">trando que tal certificación cumple con lo requerido en esta resolución y que la certificación se encuentra actualizada. En caso de que la </w:t>
      </w:r>
      <w:r w:rsidR="00A22A26">
        <w:rPr>
          <w:sz w:val="24"/>
        </w:rPr>
        <w:t>certifica</w:t>
      </w:r>
      <w:r>
        <w:rPr>
          <w:sz w:val="24"/>
        </w:rPr>
        <w:t>ción y documentos relacionados se hayan emitido en un idioma diferente del español, se deberá acompañar de su traducción formal.</w:t>
      </w:r>
    </w:p>
    <w:p w:rsidRPr="00FC21F0" w:rsidR="00F54371" w:rsidP="004C0778" w:rsidRDefault="00F54371" w14:paraId="20D39A02" w14:textId="77777777">
      <w:pPr>
        <w:spacing w:line="240" w:lineRule="auto"/>
        <w:ind w:left="993"/>
        <w:rPr>
          <w:sz w:val="24"/>
        </w:rPr>
      </w:pPr>
    </w:p>
    <w:p w:rsidR="00E34205" w:rsidP="007D3B3A" w:rsidRDefault="00E34205" w14:paraId="46BC7F90" w14:textId="77777777">
      <w:pPr>
        <w:pStyle w:val="Prrafodelista"/>
        <w:ind w:left="567"/>
        <w:jc w:val="both"/>
        <w:rPr>
          <w:rFonts w:ascii="Cambria" w:hAnsi="Cambria"/>
          <w:b/>
          <w:bCs/>
          <w:sz w:val="24"/>
          <w:szCs w:val="24"/>
        </w:rPr>
      </w:pPr>
    </w:p>
    <w:p w:rsidR="00E34205" w:rsidP="007D3B3A" w:rsidRDefault="00E34205" w14:paraId="075ADA77" w14:textId="77777777">
      <w:pPr>
        <w:pStyle w:val="Prrafodelista"/>
        <w:ind w:left="567"/>
        <w:jc w:val="both"/>
        <w:rPr>
          <w:rFonts w:ascii="Cambria" w:hAnsi="Cambria"/>
          <w:b/>
          <w:bCs/>
          <w:sz w:val="24"/>
          <w:szCs w:val="24"/>
        </w:rPr>
      </w:pPr>
    </w:p>
    <w:p w:rsidRPr="00BD2A91" w:rsidR="007D3B3A" w:rsidP="007D3B3A" w:rsidRDefault="007D3B3A" w14:paraId="4EE99F16" w14:textId="48768F0E">
      <w:pPr>
        <w:pStyle w:val="Prrafodelista"/>
        <w:ind w:left="567"/>
        <w:jc w:val="both"/>
        <w:rPr>
          <w:rFonts w:ascii="Cambria" w:hAnsi="Cambria"/>
          <w:b/>
          <w:bCs/>
          <w:sz w:val="24"/>
          <w:szCs w:val="24"/>
        </w:rPr>
      </w:pPr>
      <w:r w:rsidRPr="00BD2A91">
        <w:rPr>
          <w:rFonts w:ascii="Cambria" w:hAnsi="Cambria"/>
          <w:b/>
          <w:bCs/>
          <w:sz w:val="24"/>
          <w:szCs w:val="24"/>
        </w:rPr>
        <w:lastRenderedPageBreak/>
        <w:t xml:space="preserve">Ambos informes </w:t>
      </w:r>
      <w:r w:rsidR="00E06F76">
        <w:rPr>
          <w:rFonts w:ascii="Cambria" w:hAnsi="Cambria"/>
          <w:b/>
          <w:bCs/>
          <w:sz w:val="24"/>
          <w:szCs w:val="24"/>
        </w:rPr>
        <w:t xml:space="preserve">indicados en los puntos a) y b) anteriores, </w:t>
      </w:r>
      <w:r w:rsidRPr="00BD2A91">
        <w:rPr>
          <w:rFonts w:ascii="Cambria" w:hAnsi="Cambria"/>
          <w:b/>
          <w:bCs/>
          <w:sz w:val="24"/>
          <w:szCs w:val="24"/>
        </w:rPr>
        <w:t>deben tener una fecha de emisión no mayor a tres meses al momento de presentar ante esta Superintendencia, la solicitud de la certificación dispuesta en el artículo 6 del Reglamento del Sistema de Pagos.</w:t>
      </w:r>
    </w:p>
    <w:p w:rsidR="00E34205" w:rsidP="007D3B3A" w:rsidRDefault="00E34205" w14:paraId="0FD807EC" w14:textId="77777777">
      <w:pPr>
        <w:pStyle w:val="Prrafodelista"/>
        <w:ind w:left="567"/>
        <w:jc w:val="both"/>
        <w:rPr>
          <w:rFonts w:ascii="Cambria" w:hAnsi="Cambria"/>
          <w:sz w:val="24"/>
          <w:szCs w:val="24"/>
        </w:rPr>
      </w:pPr>
    </w:p>
    <w:p w:rsidR="007D3B3A" w:rsidP="007D3B3A" w:rsidRDefault="007D3B3A" w14:paraId="6938E3F1" w14:textId="6EDC2DDA">
      <w:pPr>
        <w:pStyle w:val="Prrafodelista"/>
        <w:ind w:left="567"/>
        <w:jc w:val="both"/>
        <w:rPr>
          <w:rFonts w:ascii="Cambria" w:hAnsi="Cambria"/>
          <w:sz w:val="24"/>
          <w:szCs w:val="24"/>
        </w:rPr>
      </w:pPr>
      <w:r w:rsidRPr="00FC21F0">
        <w:rPr>
          <w:rFonts w:ascii="Cambria" w:hAnsi="Cambria"/>
          <w:sz w:val="24"/>
          <w:szCs w:val="24"/>
        </w:rPr>
        <w:t xml:space="preserve">El contrato suscrito con </w:t>
      </w:r>
      <w:r>
        <w:rPr>
          <w:rFonts w:ascii="Cambria" w:hAnsi="Cambria"/>
          <w:sz w:val="24"/>
          <w:szCs w:val="24"/>
        </w:rPr>
        <w:t>cada</w:t>
      </w:r>
      <w:r w:rsidRPr="00FC21F0">
        <w:rPr>
          <w:rFonts w:ascii="Cambria" w:hAnsi="Cambria"/>
          <w:sz w:val="24"/>
          <w:szCs w:val="24"/>
        </w:rPr>
        <w:t xml:space="preserve"> auditor externo debe incluir </w:t>
      </w:r>
      <w:r>
        <w:rPr>
          <w:rFonts w:ascii="Cambria" w:hAnsi="Cambria"/>
          <w:sz w:val="24"/>
          <w:szCs w:val="24"/>
        </w:rPr>
        <w:t>una</w:t>
      </w:r>
      <w:r w:rsidRPr="00FC21F0">
        <w:rPr>
          <w:rFonts w:ascii="Cambria" w:hAnsi="Cambria"/>
          <w:sz w:val="24"/>
          <w:szCs w:val="24"/>
        </w:rPr>
        <w:t xml:space="preserve"> cláusula que obligue a entregar al supervisor, copia de la información recopilada y procesada que sirve como respaldo de las labores para emitir dich</w:t>
      </w:r>
      <w:r w:rsidR="00E34E8A">
        <w:rPr>
          <w:rFonts w:ascii="Cambria" w:hAnsi="Cambria"/>
          <w:sz w:val="24"/>
          <w:szCs w:val="24"/>
        </w:rPr>
        <w:t>o</w:t>
      </w:r>
      <w:r w:rsidRPr="00FC21F0">
        <w:rPr>
          <w:rFonts w:ascii="Cambria" w:hAnsi="Cambria"/>
          <w:sz w:val="24"/>
          <w:szCs w:val="24"/>
        </w:rPr>
        <w:t xml:space="preserve"> </w:t>
      </w:r>
      <w:r w:rsidR="00E34E8A">
        <w:rPr>
          <w:rFonts w:ascii="Cambria" w:hAnsi="Cambria"/>
          <w:sz w:val="24"/>
          <w:szCs w:val="24"/>
        </w:rPr>
        <w:t>informe</w:t>
      </w:r>
      <w:r w:rsidRPr="00FC21F0">
        <w:rPr>
          <w:rFonts w:ascii="Cambria" w:hAnsi="Cambria"/>
          <w:sz w:val="24"/>
          <w:szCs w:val="24"/>
        </w:rPr>
        <w:t>, así como los papeles de trabajo en un plazo no mayor a 5 días hábiles. Lo anterior, será por previa solicitud de este ente supervisor.</w:t>
      </w:r>
      <w:r>
        <w:rPr>
          <w:rFonts w:ascii="Cambria" w:hAnsi="Cambria"/>
          <w:sz w:val="24"/>
          <w:szCs w:val="24"/>
        </w:rPr>
        <w:t xml:space="preserve"> </w:t>
      </w:r>
    </w:p>
    <w:p w:rsidR="007D3B3A" w:rsidP="007D3B3A" w:rsidRDefault="007D3B3A" w14:paraId="468D8146" w14:textId="77777777">
      <w:pPr>
        <w:pStyle w:val="Prrafodelista"/>
        <w:ind w:left="567"/>
        <w:jc w:val="both"/>
        <w:rPr>
          <w:rFonts w:ascii="Cambria" w:hAnsi="Cambria"/>
          <w:sz w:val="24"/>
          <w:szCs w:val="24"/>
        </w:rPr>
      </w:pPr>
    </w:p>
    <w:p w:rsidR="007D3B3A" w:rsidP="007D3B3A" w:rsidRDefault="007D3B3A" w14:paraId="3DA52369" w14:textId="30BF9797">
      <w:pPr>
        <w:pStyle w:val="Prrafodelista"/>
        <w:ind w:left="567"/>
        <w:jc w:val="both"/>
        <w:rPr>
          <w:rFonts w:ascii="Cambria" w:hAnsi="Cambria"/>
          <w:sz w:val="24"/>
          <w:szCs w:val="24"/>
        </w:rPr>
      </w:pPr>
      <w:r>
        <w:rPr>
          <w:rFonts w:ascii="Cambria" w:hAnsi="Cambria"/>
          <w:sz w:val="24"/>
          <w:szCs w:val="24"/>
        </w:rPr>
        <w:t>En caso de que el supervisor identifique en los papeles de trabajo o como parte de su labor de supervisión, situaciones contrarias a las declaradas en el informe emitido, o situaciones que no sustenten tales declaraciones, será notificado al sujeto obligado</w:t>
      </w:r>
      <w:r w:rsidR="00BD2A91">
        <w:rPr>
          <w:rFonts w:ascii="Cambria" w:hAnsi="Cambria"/>
          <w:sz w:val="24"/>
          <w:szCs w:val="24"/>
        </w:rPr>
        <w:t xml:space="preserve"> y al BCCR</w:t>
      </w:r>
      <w:r>
        <w:rPr>
          <w:rFonts w:ascii="Cambria" w:hAnsi="Cambria"/>
          <w:sz w:val="24"/>
          <w:szCs w:val="24"/>
        </w:rPr>
        <w:t>, indicando que no se cumple con el requisito de cumplimiento y efectividad dispuesto</w:t>
      </w:r>
      <w:r w:rsidR="00D46844">
        <w:rPr>
          <w:rFonts w:ascii="Cambria" w:hAnsi="Cambria"/>
          <w:sz w:val="24"/>
          <w:szCs w:val="24"/>
        </w:rPr>
        <w:t>, para que se inhabilite la prestación del servicio.</w:t>
      </w:r>
      <w:r>
        <w:rPr>
          <w:rFonts w:ascii="Cambria" w:hAnsi="Cambria"/>
          <w:sz w:val="24"/>
          <w:szCs w:val="24"/>
        </w:rPr>
        <w:t xml:space="preserve"> </w:t>
      </w:r>
    </w:p>
    <w:p w:rsidRPr="00FC21F0" w:rsidR="007D3B3A" w:rsidP="007D3B3A" w:rsidRDefault="007D3B3A" w14:paraId="034C49D7" w14:textId="77777777">
      <w:pPr>
        <w:pStyle w:val="Prrafodelista"/>
        <w:ind w:left="567"/>
        <w:jc w:val="both"/>
        <w:rPr>
          <w:rFonts w:ascii="Cambria" w:hAnsi="Cambria"/>
          <w:sz w:val="24"/>
          <w:szCs w:val="24"/>
        </w:rPr>
      </w:pPr>
    </w:p>
    <w:p w:rsidR="007D3B3A" w:rsidP="004C0778" w:rsidRDefault="007D3B3A" w14:paraId="20B976A7" w14:textId="77777777">
      <w:pPr>
        <w:pStyle w:val="Prrafodelista"/>
        <w:numPr>
          <w:ilvl w:val="0"/>
          <w:numId w:val="5"/>
        </w:numPr>
        <w:ind w:left="567" w:hanging="207"/>
        <w:jc w:val="both"/>
        <w:rPr>
          <w:rFonts w:ascii="Cambria" w:hAnsi="Cambria"/>
          <w:sz w:val="24"/>
          <w:szCs w:val="24"/>
        </w:rPr>
      </w:pPr>
      <w:r w:rsidRPr="005B3D82">
        <w:rPr>
          <w:rFonts w:ascii="Cambria" w:hAnsi="Cambria"/>
          <w:sz w:val="24"/>
          <w:szCs w:val="24"/>
        </w:rPr>
        <w:t xml:space="preserve">El sujeto interesado deberá suministrar los documentos indicados por medio del correo institucional, </w:t>
      </w:r>
      <w:hyperlink w:history="1" r:id="rId14">
        <w:r w:rsidRPr="004C0778">
          <w:rPr>
            <w:rStyle w:val="Hipervnculo"/>
            <w:rFonts w:ascii="Cambria" w:hAnsi="Cambria"/>
            <w:sz w:val="24"/>
          </w:rPr>
          <w:t>articulo15bis-crm@sugef.fi.cr</w:t>
        </w:r>
      </w:hyperlink>
      <w:r w:rsidRPr="004C0778">
        <w:rPr>
          <w:rFonts w:ascii="Cambria" w:hAnsi="Cambria"/>
          <w:sz w:val="24"/>
          <w:szCs w:val="24"/>
        </w:rPr>
        <w:t>,</w:t>
      </w:r>
      <w:r w:rsidRPr="005B3D82">
        <w:rPr>
          <w:rFonts w:ascii="Cambria" w:hAnsi="Cambria"/>
          <w:sz w:val="24"/>
          <w:szCs w:val="24"/>
        </w:rPr>
        <w:t xml:space="preserve"> </w:t>
      </w:r>
      <w:r>
        <w:rPr>
          <w:rFonts w:ascii="Cambria" w:hAnsi="Cambria"/>
          <w:sz w:val="24"/>
          <w:szCs w:val="24"/>
        </w:rPr>
        <w:t>u otro(s)</w:t>
      </w:r>
      <w:r w:rsidRPr="005B3D82">
        <w:rPr>
          <w:rFonts w:ascii="Cambria" w:hAnsi="Cambria"/>
          <w:sz w:val="24"/>
          <w:szCs w:val="24"/>
        </w:rPr>
        <w:t xml:space="preserve"> medio</w:t>
      </w:r>
      <w:r>
        <w:rPr>
          <w:rFonts w:ascii="Cambria" w:hAnsi="Cambria"/>
          <w:sz w:val="24"/>
          <w:szCs w:val="24"/>
        </w:rPr>
        <w:t>(</w:t>
      </w:r>
      <w:r w:rsidRPr="005B3D82">
        <w:rPr>
          <w:rFonts w:ascii="Cambria" w:hAnsi="Cambria"/>
          <w:sz w:val="24"/>
          <w:szCs w:val="24"/>
        </w:rPr>
        <w:t>s</w:t>
      </w:r>
      <w:r>
        <w:rPr>
          <w:rFonts w:ascii="Cambria" w:hAnsi="Cambria"/>
          <w:sz w:val="24"/>
          <w:szCs w:val="24"/>
        </w:rPr>
        <w:t>)</w:t>
      </w:r>
      <w:r w:rsidRPr="005B3D82">
        <w:rPr>
          <w:rFonts w:ascii="Cambria" w:hAnsi="Cambria"/>
          <w:sz w:val="24"/>
          <w:szCs w:val="24"/>
        </w:rPr>
        <w:t xml:space="preserve"> que disponga la Superintendencia.</w:t>
      </w:r>
    </w:p>
    <w:p w:rsidR="007D3B3A" w:rsidP="007D3B3A" w:rsidRDefault="007D3B3A" w14:paraId="0609AB55" w14:textId="6EF1987E">
      <w:pPr>
        <w:pStyle w:val="Prrafodelista"/>
        <w:jc w:val="both"/>
        <w:rPr>
          <w:rFonts w:ascii="Cambria" w:hAnsi="Cambria"/>
          <w:sz w:val="24"/>
          <w:szCs w:val="24"/>
        </w:rPr>
      </w:pPr>
    </w:p>
    <w:p w:rsidR="00E20B68" w:rsidP="00E20B68" w:rsidRDefault="00E20B68" w14:paraId="0DE52DE2" w14:textId="77777777">
      <w:pPr>
        <w:pStyle w:val="Prrafodelista"/>
        <w:numPr>
          <w:ilvl w:val="0"/>
          <w:numId w:val="5"/>
        </w:numPr>
        <w:ind w:left="567" w:hanging="207"/>
        <w:jc w:val="both"/>
        <w:rPr>
          <w:rFonts w:ascii="Cambria" w:hAnsi="Cambria"/>
          <w:sz w:val="24"/>
          <w:szCs w:val="24"/>
        </w:rPr>
      </w:pPr>
      <w:r w:rsidRPr="007B21E2">
        <w:rPr>
          <w:rFonts w:ascii="Cambria" w:hAnsi="Cambria"/>
          <w:sz w:val="24"/>
          <w:szCs w:val="24"/>
        </w:rPr>
        <w:t xml:space="preserve">Las entidades deben </w:t>
      </w:r>
      <w:r w:rsidRPr="004D61EF">
        <w:rPr>
          <w:rFonts w:ascii="Cambria" w:hAnsi="Cambria"/>
          <w:sz w:val="24"/>
          <w:szCs w:val="24"/>
        </w:rPr>
        <w:t>demostrar</w:t>
      </w:r>
      <w:r w:rsidRPr="007B21E2">
        <w:rPr>
          <w:rFonts w:ascii="Cambria" w:hAnsi="Cambria"/>
          <w:sz w:val="24"/>
          <w:szCs w:val="24"/>
        </w:rPr>
        <w:t xml:space="preserve"> que se encuentran registradas en la plataforma del I</w:t>
      </w:r>
      <w:r>
        <w:rPr>
          <w:rFonts w:ascii="Cambria" w:hAnsi="Cambria"/>
          <w:sz w:val="24"/>
          <w:szCs w:val="24"/>
        </w:rPr>
        <w:t xml:space="preserve">nstituto </w:t>
      </w:r>
      <w:r w:rsidRPr="007B21E2">
        <w:rPr>
          <w:rFonts w:ascii="Cambria" w:hAnsi="Cambria"/>
          <w:sz w:val="24"/>
          <w:szCs w:val="24"/>
        </w:rPr>
        <w:t>C</w:t>
      </w:r>
      <w:r>
        <w:rPr>
          <w:rFonts w:ascii="Cambria" w:hAnsi="Cambria"/>
          <w:sz w:val="24"/>
          <w:szCs w:val="24"/>
        </w:rPr>
        <w:t xml:space="preserve">ostarricense de </w:t>
      </w:r>
      <w:r w:rsidRPr="007B21E2">
        <w:rPr>
          <w:rFonts w:ascii="Cambria" w:hAnsi="Cambria"/>
          <w:sz w:val="24"/>
          <w:szCs w:val="24"/>
        </w:rPr>
        <w:t>D</w:t>
      </w:r>
      <w:r>
        <w:rPr>
          <w:rFonts w:ascii="Cambria" w:hAnsi="Cambria"/>
          <w:sz w:val="24"/>
          <w:szCs w:val="24"/>
        </w:rPr>
        <w:t xml:space="preserve">rogas (ICD), </w:t>
      </w:r>
      <w:r w:rsidRPr="007B21E2">
        <w:rPr>
          <w:rFonts w:ascii="Cambria" w:hAnsi="Cambria"/>
          <w:b/>
          <w:bCs/>
          <w:i/>
          <w:iCs/>
          <w:sz w:val="24"/>
          <w:szCs w:val="24"/>
        </w:rPr>
        <w:t>UIF Reportes</w:t>
      </w:r>
      <w:r w:rsidRPr="007B21E2">
        <w:rPr>
          <w:rFonts w:ascii="Cambria" w:hAnsi="Cambria"/>
          <w:sz w:val="24"/>
          <w:szCs w:val="24"/>
        </w:rPr>
        <w:t xml:space="preserve">, el cual es el </w:t>
      </w:r>
      <w:r w:rsidRPr="00337E78">
        <w:rPr>
          <w:rFonts w:ascii="Cambria" w:hAnsi="Cambria"/>
          <w:i/>
          <w:iCs/>
          <w:sz w:val="24"/>
          <w:szCs w:val="24"/>
        </w:rPr>
        <w:t>Sistema de Registro y Reporte de Sujetos Obligados</w:t>
      </w:r>
      <w:r w:rsidRPr="007B21E2">
        <w:rPr>
          <w:rFonts w:ascii="Cambria" w:hAnsi="Cambria"/>
          <w:sz w:val="24"/>
          <w:szCs w:val="24"/>
        </w:rPr>
        <w:t>, que desarrollan alguna de las actividades descritas en el artículo 15 y 15bis de la Ley 8204, para el reporte de operaciones sospechosas</w:t>
      </w:r>
      <w:r>
        <w:rPr>
          <w:rFonts w:ascii="Cambria" w:hAnsi="Cambria"/>
          <w:sz w:val="24"/>
          <w:szCs w:val="24"/>
        </w:rPr>
        <w:t xml:space="preserve">. El acceso a la plataforma lo puede ubicar en el siguiente enlace: </w:t>
      </w:r>
      <w:hyperlink w:history="1" r:id="rId15">
        <w:r w:rsidRPr="004C0778">
          <w:rPr>
            <w:rStyle w:val="Hipervnculo"/>
            <w:rFonts w:ascii="Cambria" w:hAnsi="Cambria"/>
            <w:sz w:val="24"/>
          </w:rPr>
          <w:t>https://apps.icd.go.cr/uifreportes/Autenticacion.aspx</w:t>
        </w:r>
      </w:hyperlink>
    </w:p>
    <w:p w:rsidR="00E20B68" w:rsidP="007D3B3A" w:rsidRDefault="00E20B68" w14:paraId="4573FE07" w14:textId="77777777">
      <w:pPr>
        <w:pStyle w:val="Prrafodelista"/>
        <w:jc w:val="both"/>
        <w:rPr>
          <w:rFonts w:ascii="Cambria" w:hAnsi="Cambria"/>
          <w:sz w:val="24"/>
          <w:szCs w:val="24"/>
        </w:rPr>
      </w:pPr>
    </w:p>
    <w:p w:rsidRPr="00FC3BD4" w:rsidR="007D3B3A" w:rsidP="004C0778" w:rsidRDefault="007D3B3A" w14:paraId="3BFE8B02" w14:textId="101A01B3">
      <w:pPr>
        <w:pStyle w:val="Prrafodelista"/>
        <w:numPr>
          <w:ilvl w:val="0"/>
          <w:numId w:val="5"/>
        </w:numPr>
        <w:ind w:left="567" w:hanging="207"/>
        <w:jc w:val="both"/>
        <w:rPr>
          <w:rFonts w:ascii="Cambria" w:hAnsi="Cambria"/>
          <w:sz w:val="24"/>
          <w:szCs w:val="24"/>
        </w:rPr>
      </w:pPr>
      <w:r>
        <w:rPr>
          <w:rFonts w:ascii="Cambria" w:hAnsi="Cambria"/>
          <w:sz w:val="24"/>
          <w:szCs w:val="24"/>
        </w:rPr>
        <w:t xml:space="preserve">Esta Superintendencia, estará haciendo la comunicación </w:t>
      </w:r>
      <w:r w:rsidR="00E34E8A">
        <w:rPr>
          <w:rFonts w:ascii="Cambria" w:hAnsi="Cambria"/>
          <w:sz w:val="24"/>
          <w:szCs w:val="24"/>
        </w:rPr>
        <w:t>correspondiente</w:t>
      </w:r>
      <w:r>
        <w:rPr>
          <w:rFonts w:ascii="Cambria" w:hAnsi="Cambria"/>
          <w:sz w:val="24"/>
          <w:szCs w:val="24"/>
        </w:rPr>
        <w:t xml:space="preserve"> al BCCR </w:t>
      </w:r>
      <w:r w:rsidR="00E20B68">
        <w:rPr>
          <w:rFonts w:ascii="Cambria" w:hAnsi="Cambria"/>
          <w:sz w:val="24"/>
          <w:szCs w:val="24"/>
        </w:rPr>
        <w:t>con base en los resultados</w:t>
      </w:r>
      <w:r>
        <w:rPr>
          <w:rFonts w:ascii="Cambria" w:hAnsi="Cambria"/>
          <w:sz w:val="24"/>
          <w:szCs w:val="24"/>
        </w:rPr>
        <w:t xml:space="preserve"> obtenido</w:t>
      </w:r>
      <w:r w:rsidR="00E20B68">
        <w:rPr>
          <w:rFonts w:ascii="Cambria" w:hAnsi="Cambria"/>
          <w:sz w:val="24"/>
          <w:szCs w:val="24"/>
        </w:rPr>
        <w:t>s</w:t>
      </w:r>
      <w:r>
        <w:rPr>
          <w:rFonts w:ascii="Cambria" w:hAnsi="Cambria"/>
          <w:sz w:val="24"/>
          <w:szCs w:val="24"/>
        </w:rPr>
        <w:t xml:space="preserve">, sin embargo, no se estarán reenviando los informes emitidos por dichos profesionales por cuanto son documentos confidenciales asociados al proceso de Supervisión. </w:t>
      </w:r>
    </w:p>
    <w:p w:rsidRPr="008A7FBE" w:rsidR="007D3B3A" w:rsidP="007D3B3A" w:rsidRDefault="007D3B3A" w14:paraId="2F27AF3C" w14:textId="77777777">
      <w:pPr>
        <w:pStyle w:val="Prrafodelista"/>
        <w:spacing w:line="240" w:lineRule="auto"/>
        <w:jc w:val="both"/>
        <w:rPr>
          <w:rFonts w:ascii="Cambria" w:hAnsi="Cambria"/>
          <w:sz w:val="24"/>
          <w:szCs w:val="24"/>
        </w:rPr>
      </w:pPr>
    </w:p>
    <w:p w:rsidRPr="007F20AB" w:rsidR="007D3B3A" w:rsidP="004C0778" w:rsidRDefault="007D3B3A" w14:paraId="207A4CAB" w14:textId="56D19BC8">
      <w:pPr>
        <w:pStyle w:val="Prrafodelista"/>
        <w:numPr>
          <w:ilvl w:val="0"/>
          <w:numId w:val="5"/>
        </w:numPr>
        <w:ind w:left="567" w:hanging="207"/>
        <w:jc w:val="both"/>
        <w:rPr>
          <w:rStyle w:val="Hipervnculo"/>
          <w:sz w:val="24"/>
        </w:rPr>
      </w:pPr>
      <w:r w:rsidRPr="007F20AB">
        <w:rPr>
          <w:rFonts w:ascii="Cambria" w:hAnsi="Cambria"/>
          <w:sz w:val="24"/>
          <w:szCs w:val="24"/>
        </w:rPr>
        <w:t xml:space="preserve">La lista de participantes autorizados ante la </w:t>
      </w:r>
      <w:proofErr w:type="spellStart"/>
      <w:r w:rsidRPr="007F20AB">
        <w:rPr>
          <w:rFonts w:ascii="Cambria" w:hAnsi="Cambria"/>
          <w:sz w:val="24"/>
          <w:szCs w:val="24"/>
        </w:rPr>
        <w:t>Sugeval</w:t>
      </w:r>
      <w:proofErr w:type="spellEnd"/>
      <w:r w:rsidRPr="007F20AB">
        <w:rPr>
          <w:rFonts w:ascii="Cambria" w:hAnsi="Cambria"/>
          <w:sz w:val="24"/>
          <w:szCs w:val="24"/>
        </w:rPr>
        <w:t xml:space="preserve">, para prestar sus servicios como auditores externos, puede ser consultada en el siguiente enlace: </w:t>
      </w:r>
      <w:hyperlink w:history="1" r:id="rId16">
        <w:r w:rsidRPr="004C0778">
          <w:rPr>
            <w:rStyle w:val="Hipervnculo"/>
            <w:rFonts w:ascii="Cambria" w:hAnsi="Cambria"/>
            <w:sz w:val="24"/>
          </w:rPr>
          <w:t>https://aplicaciones.sugeval.fi.cr/Participantes/AuditoresExternos</w:t>
        </w:r>
      </w:hyperlink>
    </w:p>
    <w:p w:rsidR="007D3B3A" w:rsidP="007D3B3A" w:rsidRDefault="007D3B3A" w14:paraId="0EDBF49F" w14:textId="77777777">
      <w:pPr>
        <w:pStyle w:val="Prrafodelista"/>
        <w:jc w:val="both"/>
        <w:rPr>
          <w:rFonts w:ascii="Cambria" w:hAnsi="Cambria"/>
          <w:sz w:val="24"/>
          <w:szCs w:val="24"/>
        </w:rPr>
      </w:pPr>
    </w:p>
    <w:p w:rsidR="007D3B3A" w:rsidP="004C0778" w:rsidRDefault="007D3B3A" w14:paraId="27442997" w14:textId="65E51647">
      <w:pPr>
        <w:pStyle w:val="Prrafodelista"/>
        <w:numPr>
          <w:ilvl w:val="0"/>
          <w:numId w:val="5"/>
        </w:numPr>
        <w:ind w:left="567" w:hanging="207"/>
        <w:jc w:val="both"/>
        <w:rPr>
          <w:rFonts w:ascii="Cambria" w:hAnsi="Cambria"/>
          <w:sz w:val="24"/>
          <w:szCs w:val="24"/>
        </w:rPr>
      </w:pPr>
      <w:r>
        <w:rPr>
          <w:rFonts w:ascii="Cambria" w:hAnsi="Cambria"/>
          <w:sz w:val="24"/>
          <w:szCs w:val="24"/>
        </w:rPr>
        <w:t>Ambos informes</w:t>
      </w:r>
      <w:r w:rsidRPr="00E61097">
        <w:rPr>
          <w:rFonts w:ascii="Cambria" w:hAnsi="Cambria"/>
          <w:sz w:val="24"/>
          <w:szCs w:val="24"/>
        </w:rPr>
        <w:t xml:space="preserve"> deben actualizarse de forma anual con corte al 30 de junio,</w:t>
      </w:r>
      <w:r>
        <w:rPr>
          <w:rFonts w:ascii="Cambria" w:hAnsi="Cambria"/>
          <w:sz w:val="24"/>
          <w:szCs w:val="24"/>
        </w:rPr>
        <w:t xml:space="preserve"> debiendo presentarse a esta Superintendencia en el mes de </w:t>
      </w:r>
      <w:r w:rsidR="009A15E6">
        <w:rPr>
          <w:rFonts w:ascii="Cambria" w:hAnsi="Cambria"/>
          <w:sz w:val="24"/>
          <w:szCs w:val="24"/>
        </w:rPr>
        <w:t>setiembre</w:t>
      </w:r>
      <w:r>
        <w:rPr>
          <w:rFonts w:ascii="Cambria" w:hAnsi="Cambria"/>
          <w:sz w:val="24"/>
          <w:szCs w:val="24"/>
        </w:rPr>
        <w:t xml:space="preserve"> de cada año, </w:t>
      </w:r>
      <w:r w:rsidRPr="00A37468">
        <w:rPr>
          <w:rFonts w:ascii="Cambria" w:hAnsi="Cambria"/>
          <w:sz w:val="24"/>
          <w:szCs w:val="24"/>
        </w:rPr>
        <w:t>para verificar que se mantienen las condiciones que le dieron origen</w:t>
      </w:r>
      <w:r>
        <w:rPr>
          <w:rFonts w:ascii="Cambria" w:hAnsi="Cambria"/>
          <w:sz w:val="24"/>
          <w:szCs w:val="24"/>
        </w:rPr>
        <w:t xml:space="preserve">, salvo </w:t>
      </w:r>
      <w:r>
        <w:rPr>
          <w:rFonts w:ascii="Cambria" w:hAnsi="Cambria"/>
          <w:sz w:val="24"/>
          <w:szCs w:val="24"/>
        </w:rPr>
        <w:lastRenderedPageBreak/>
        <w:t>que la certificación emitida por esta Superintendencia que dio origen a la autorización por parte del Banco Central de Costa Rica como proveedor de servicios de pago, tenga una fecha de emisión menor a seis meses a la fecha de corte para la correspondiente renovación. Si el sujeto obligado no presenta la actualización anual, tal situación será notificada al BCCR para que se inhabilite la prestación del servicio.</w:t>
      </w:r>
    </w:p>
    <w:p w:rsidR="007D3B3A" w:rsidP="007D3B3A" w:rsidRDefault="007D3B3A" w14:paraId="7CFC57AC" w14:textId="77777777">
      <w:pPr>
        <w:pStyle w:val="Prrafodelista"/>
        <w:jc w:val="both"/>
        <w:rPr>
          <w:rFonts w:ascii="Cambria" w:hAnsi="Cambria"/>
          <w:sz w:val="24"/>
          <w:szCs w:val="24"/>
        </w:rPr>
      </w:pPr>
    </w:p>
    <w:p w:rsidRPr="00A37468" w:rsidR="007D3B3A" w:rsidP="004C0778" w:rsidRDefault="007D3B3A" w14:paraId="48B18453" w14:textId="7F91B1FD">
      <w:pPr>
        <w:pStyle w:val="Prrafodelista"/>
        <w:numPr>
          <w:ilvl w:val="0"/>
          <w:numId w:val="5"/>
        </w:numPr>
        <w:ind w:left="567" w:hanging="207"/>
        <w:jc w:val="both"/>
        <w:rPr>
          <w:rFonts w:ascii="Cambria" w:hAnsi="Cambria"/>
          <w:sz w:val="24"/>
          <w:szCs w:val="24"/>
        </w:rPr>
      </w:pPr>
      <w:r>
        <w:rPr>
          <w:rFonts w:ascii="Cambria" w:hAnsi="Cambria"/>
          <w:sz w:val="24"/>
          <w:szCs w:val="24"/>
        </w:rPr>
        <w:t>En cualquier momento que esta Superintendencia evidencie que no se está cumpliendo con los requerimientos reglamentarios establecidos</w:t>
      </w:r>
      <w:r w:rsidR="00B779B2">
        <w:rPr>
          <w:rFonts w:ascii="Cambria" w:hAnsi="Cambria"/>
          <w:sz w:val="24"/>
          <w:szCs w:val="24"/>
        </w:rPr>
        <w:t xml:space="preserve"> o las condiciones </w:t>
      </w:r>
      <w:r w:rsidR="00E27F63">
        <w:rPr>
          <w:rFonts w:ascii="Cambria" w:hAnsi="Cambria"/>
          <w:sz w:val="24"/>
          <w:szCs w:val="24"/>
        </w:rPr>
        <w:t>ó</w:t>
      </w:r>
      <w:r w:rsidR="00B779B2">
        <w:rPr>
          <w:rFonts w:ascii="Cambria" w:hAnsi="Cambria"/>
          <w:sz w:val="24"/>
          <w:szCs w:val="24"/>
        </w:rPr>
        <w:t>ptimas en la gestión de tecnologías de información</w:t>
      </w:r>
      <w:r>
        <w:rPr>
          <w:rFonts w:ascii="Cambria" w:hAnsi="Cambria"/>
          <w:sz w:val="24"/>
          <w:szCs w:val="24"/>
        </w:rPr>
        <w:t>, lo podrá comunicar de forma general al BCCR, para que se inhabilite la prestación del servicio.</w:t>
      </w:r>
    </w:p>
    <w:p w:rsidR="007D3B3A" w:rsidP="004C0778" w:rsidRDefault="007D3B3A" w14:paraId="5D2E524C" w14:textId="77777777">
      <w:pPr>
        <w:pStyle w:val="Prrafodelista"/>
        <w:ind w:left="567" w:hanging="207"/>
        <w:jc w:val="both"/>
        <w:rPr>
          <w:rFonts w:ascii="Cambria" w:hAnsi="Cambria"/>
          <w:sz w:val="24"/>
          <w:szCs w:val="24"/>
        </w:rPr>
      </w:pPr>
    </w:p>
    <w:p w:rsidR="007D3B3A" w:rsidP="004C0778" w:rsidRDefault="007D3B3A" w14:paraId="551807E6" w14:textId="5D12443B">
      <w:pPr>
        <w:pStyle w:val="Prrafodelista"/>
        <w:numPr>
          <w:ilvl w:val="0"/>
          <w:numId w:val="5"/>
        </w:numPr>
        <w:ind w:left="567" w:hanging="207"/>
        <w:jc w:val="both"/>
        <w:rPr>
          <w:rFonts w:ascii="Cambria" w:hAnsi="Cambria"/>
          <w:sz w:val="24"/>
          <w:szCs w:val="24"/>
        </w:rPr>
      </w:pPr>
      <w:r w:rsidRPr="008E16A8">
        <w:rPr>
          <w:rFonts w:ascii="Cambria" w:hAnsi="Cambria"/>
          <w:sz w:val="24"/>
          <w:szCs w:val="24"/>
        </w:rPr>
        <w:t xml:space="preserve">Para los sujetos obligados que ya se encuentren inscritos ante Sugef y que a la fecha ya se encuentren autorizados por el Banco Central de Costa Rica como proveedores de servicios de pago, </w:t>
      </w:r>
      <w:r w:rsidRPr="001A5DFB">
        <w:rPr>
          <w:rFonts w:ascii="Cambria" w:hAnsi="Cambria"/>
          <w:b/>
          <w:bCs/>
          <w:sz w:val="24"/>
          <w:szCs w:val="24"/>
        </w:rPr>
        <w:t>contarán con un plazo de 8 meses a partir del presente comunicado</w:t>
      </w:r>
      <w:r w:rsidRPr="008E16A8">
        <w:rPr>
          <w:rFonts w:ascii="Cambria" w:hAnsi="Cambria"/>
          <w:sz w:val="24"/>
          <w:szCs w:val="24"/>
        </w:rPr>
        <w:t xml:space="preserve">, para suministrar la información requerida en los puntos 1.a) y 1.b), y en adelante proceder con su actualización de conformidad con el punto 5. </w:t>
      </w:r>
      <w:r>
        <w:rPr>
          <w:rFonts w:ascii="Cambria" w:hAnsi="Cambria"/>
          <w:sz w:val="24"/>
          <w:szCs w:val="24"/>
        </w:rPr>
        <w:t xml:space="preserve"> </w:t>
      </w:r>
      <w:r w:rsidR="00815963">
        <w:rPr>
          <w:rFonts w:ascii="Cambria" w:hAnsi="Cambria"/>
          <w:sz w:val="24"/>
          <w:szCs w:val="24"/>
        </w:rPr>
        <w:t xml:space="preserve">En caso de que no se cumpla con lo requerido, </w:t>
      </w:r>
      <w:r w:rsidR="00031FED">
        <w:rPr>
          <w:rFonts w:ascii="Cambria" w:hAnsi="Cambria"/>
          <w:sz w:val="24"/>
          <w:szCs w:val="24"/>
        </w:rPr>
        <w:t>tal situación será comunicada al BCCR, para que se inhabilite la prestación del servicio.</w:t>
      </w:r>
    </w:p>
    <w:p w:rsidR="007D3B3A" w:rsidP="007D3B3A" w:rsidRDefault="007D3B3A" w14:paraId="15F3D7AD" w14:textId="77777777">
      <w:pPr>
        <w:pStyle w:val="Prrafodelista"/>
        <w:rPr>
          <w:rFonts w:ascii="Cambria" w:hAnsi="Cambria"/>
          <w:sz w:val="24"/>
          <w:szCs w:val="24"/>
        </w:rPr>
      </w:pPr>
    </w:p>
    <w:p w:rsidR="007D3B3A" w:rsidP="007D3B3A" w:rsidRDefault="007D3B3A" w14:paraId="5B96B4CC" w14:textId="77777777">
      <w:pPr>
        <w:pStyle w:val="Texto"/>
        <w:spacing w:before="0" w:after="0" w:line="240" w:lineRule="auto"/>
        <w:rPr>
          <w:sz w:val="24"/>
        </w:rPr>
      </w:pPr>
      <w:r>
        <w:rPr>
          <w:sz w:val="24"/>
        </w:rPr>
        <w:t>Atentamente,</w:t>
      </w:r>
    </w:p>
    <w:p w:rsidR="007D3B3A" w:rsidP="007D3B3A" w:rsidRDefault="00073A2A" w14:paraId="3FA2DFE9" w14:textId="1BCD26BC">
      <w:pPr>
        <w:spacing w:line="240" w:lineRule="auto"/>
        <w:rPr>
          <w:sz w:val="24"/>
        </w:rPr>
      </w:pPr>
      <w:r>
        <w:rPr>
          <w:noProof/>
        </w:rPr>
        <w:drawing>
          <wp:anchor distT="0" distB="0" distL="114300" distR="114300" simplePos="0" relativeHeight="251659264" behindDoc="1" locked="0" layoutInCell="1" allowOverlap="1" wp14:editId="2E76101F" wp14:anchorId="6F86BF12">
            <wp:simplePos x="0" y="0"/>
            <wp:positionH relativeFrom="column">
              <wp:posOffset>-68580</wp:posOffset>
            </wp:positionH>
            <wp:positionV relativeFrom="paragraph">
              <wp:posOffset>201295</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7D3B3A" w:rsidP="007D3B3A" w:rsidRDefault="007D3B3A" w14:paraId="6674B367" w14:textId="4DF71AD4">
      <w:pPr>
        <w:pStyle w:val="Negrita"/>
        <w:spacing w:line="240" w:lineRule="auto"/>
        <w:jc w:val="left"/>
        <w:rPr>
          <w:b w:val="0"/>
          <w:sz w:val="24"/>
        </w:rPr>
      </w:pPr>
    </w:p>
    <w:p w:rsidR="007D3B3A" w:rsidP="007D3B3A" w:rsidRDefault="007D3B3A" w14:paraId="26135461" w14:textId="77777777">
      <w:pPr>
        <w:pStyle w:val="Negrita"/>
        <w:spacing w:line="240" w:lineRule="auto"/>
        <w:jc w:val="left"/>
        <w:rPr>
          <w:b w:val="0"/>
          <w:sz w:val="24"/>
        </w:rPr>
      </w:pPr>
    </w:p>
    <w:p w:rsidR="007D3B3A" w:rsidP="007D3B3A" w:rsidRDefault="007D3B3A" w14:paraId="4E98DE89" w14:textId="77777777">
      <w:pPr>
        <w:pStyle w:val="Negrita"/>
        <w:spacing w:line="240" w:lineRule="auto"/>
        <w:jc w:val="left"/>
        <w:rPr>
          <w:b w:val="0"/>
          <w:sz w:val="24"/>
        </w:rPr>
      </w:pPr>
    </w:p>
    <w:p w:rsidR="007D3B3A" w:rsidP="007D3B3A" w:rsidRDefault="007D3B3A" w14:paraId="599E0AAE" w14:textId="1FCA332F">
      <w:pPr>
        <w:pStyle w:val="Negrita"/>
        <w:spacing w:line="240" w:lineRule="auto"/>
        <w:rPr>
          <w:sz w:val="24"/>
        </w:rPr>
      </w:pPr>
      <w:r w:rsidRPr="0052682C">
        <w:rPr>
          <w:b w:val="0"/>
          <w:sz w:val="24"/>
        </w:rPr>
        <w:t>R</w:t>
      </w:r>
      <w:r>
        <w:rPr>
          <w:b w:val="0"/>
          <w:sz w:val="24"/>
        </w:rPr>
        <w:t>ocío Aguilar Montoya</w:t>
      </w:r>
      <w:r w:rsidRPr="00C1348D">
        <w:rPr>
          <w:b w:val="0"/>
          <w:sz w:val="24"/>
        </w:rPr>
        <w:t xml:space="preserve"> </w:t>
      </w:r>
    </w:p>
    <w:p w:rsidRPr="00617333" w:rsidR="007D3B3A" w:rsidP="007D3B3A" w:rsidRDefault="007D3B3A" w14:paraId="1F0C980B" w14:textId="77777777">
      <w:pPr>
        <w:pStyle w:val="Negrita"/>
        <w:spacing w:line="240" w:lineRule="auto"/>
        <w:rPr>
          <w:b w:val="0"/>
          <w:sz w:val="24"/>
        </w:rPr>
      </w:pPr>
      <w:r>
        <w:rPr>
          <w:sz w:val="24"/>
        </w:rPr>
        <w:t>Superintendente General de Entidades Financieras</w:t>
      </w:r>
    </w:p>
    <w:p w:rsidR="007D3B3A" w:rsidP="007D3B3A" w:rsidRDefault="007D3B3A" w14:paraId="4131A7E0" w14:textId="77777777">
      <w:pPr>
        <w:pStyle w:val="Texto"/>
        <w:spacing w:before="0" w:after="0" w:line="240" w:lineRule="auto"/>
        <w:contextualSpacing/>
        <w:rPr>
          <w:i/>
          <w:sz w:val="16"/>
          <w:szCs w:val="16"/>
        </w:rPr>
      </w:pPr>
    </w:p>
    <w:p w:rsidRPr="00927083" w:rsidR="007D3B3A" w:rsidP="007D3B3A" w:rsidRDefault="007D3B3A" w14:paraId="290219F6" w14:textId="77777777">
      <w:pPr>
        <w:pStyle w:val="Texto"/>
        <w:spacing w:before="0" w:after="0" w:line="240" w:lineRule="auto"/>
        <w:contextualSpacing/>
        <w:rPr>
          <w:i/>
          <w:sz w:val="16"/>
          <w:szCs w:val="16"/>
          <w:lang w:val="es-CR"/>
        </w:rPr>
      </w:pPr>
    </w:p>
    <w:p w:rsidRPr="00927083" w:rsidR="007D3B3A" w:rsidP="007D3B3A" w:rsidRDefault="007D3B3A" w14:paraId="50AAC72F" w14:textId="77777777">
      <w:pPr>
        <w:pStyle w:val="Texto"/>
        <w:spacing w:before="0" w:after="0" w:line="240" w:lineRule="auto"/>
        <w:contextualSpacing/>
        <w:rPr>
          <w:i/>
          <w:sz w:val="16"/>
          <w:szCs w:val="16"/>
          <w:lang w:val="es-CR"/>
        </w:rPr>
      </w:pPr>
    </w:p>
    <w:p w:rsidRPr="00927083" w:rsidR="007D3B3A" w:rsidP="007D3B3A" w:rsidRDefault="007D3B3A" w14:paraId="42A84797" w14:textId="77777777">
      <w:pPr>
        <w:pStyle w:val="Texto"/>
        <w:spacing w:before="0" w:after="0" w:line="240" w:lineRule="auto"/>
        <w:contextualSpacing/>
        <w:rPr>
          <w:i/>
          <w:sz w:val="16"/>
          <w:szCs w:val="16"/>
          <w:lang w:val="es-CR"/>
        </w:rPr>
      </w:pPr>
    </w:p>
    <w:p w:rsidRPr="00927083" w:rsidR="007D3B3A" w:rsidP="007D3B3A" w:rsidRDefault="007D3B3A" w14:paraId="4CCF4CD0" w14:textId="77777777">
      <w:pPr>
        <w:pStyle w:val="Texto"/>
        <w:spacing w:before="0" w:after="0" w:line="240" w:lineRule="auto"/>
        <w:contextualSpacing/>
        <w:rPr>
          <w:i/>
          <w:sz w:val="16"/>
          <w:szCs w:val="16"/>
          <w:lang w:val="es-CR"/>
        </w:rPr>
      </w:pPr>
    </w:p>
    <w:p w:rsidRPr="007D3B3A" w:rsidR="00AF06C5" w:rsidP="007D3B3A" w:rsidRDefault="007D3B3A" w14:paraId="6331F083" w14:textId="13C723D1">
      <w:pPr>
        <w:pStyle w:val="Texto"/>
        <w:spacing w:before="0" w:after="0" w:line="240" w:lineRule="auto"/>
        <w:contextualSpacing/>
        <w:rPr>
          <w:i/>
          <w:sz w:val="16"/>
          <w:szCs w:val="16"/>
          <w:lang w:val="en-US"/>
        </w:rPr>
      </w:pPr>
      <w:r w:rsidRPr="00EE51DB">
        <w:rPr>
          <w:i/>
          <w:sz w:val="16"/>
          <w:szCs w:val="16"/>
          <w:lang w:val="en-US"/>
        </w:rPr>
        <w:t>RAM/RCA/GA</w:t>
      </w:r>
      <w:r>
        <w:rPr>
          <w:i/>
          <w:sz w:val="16"/>
          <w:szCs w:val="16"/>
          <w:lang w:val="en-US"/>
        </w:rPr>
        <w:t>M</w:t>
      </w:r>
      <w:r w:rsidRPr="00EE51DB">
        <w:rPr>
          <w:i/>
          <w:sz w:val="16"/>
          <w:szCs w:val="16"/>
          <w:lang w:val="en-US"/>
        </w:rPr>
        <w:t>/JCB/RBS</w:t>
      </w:r>
      <w:r w:rsidR="00576D83">
        <w:rPr>
          <w:i/>
          <w:sz w:val="16"/>
          <w:szCs w:val="16"/>
          <w:lang w:val="en-US"/>
        </w:rPr>
        <w:t>.</w:t>
      </w:r>
    </w:p>
    <w:sectPr w:rsidRPr="007D3B3A" w:rsidR="00AF06C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DCAB" w14:textId="77777777" w:rsidR="007D3B3A" w:rsidRDefault="007D3B3A" w:rsidP="009349F3">
      <w:pPr>
        <w:spacing w:line="240" w:lineRule="auto"/>
      </w:pPr>
      <w:r>
        <w:separator/>
      </w:r>
    </w:p>
  </w:endnote>
  <w:endnote w:type="continuationSeparator" w:id="0">
    <w:p w14:paraId="37332909" w14:textId="77777777" w:rsidR="007D3B3A" w:rsidRDefault="007D3B3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62C453F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56759BB" w14:textId="77777777">
      <w:tc>
        <w:tcPr>
          <w:tcW w:w="2942" w:type="dxa"/>
        </w:tcPr>
        <w:p w:rsidR="00DA2424" w:rsidP="00DA2424" w:rsidRDefault="00DA2424" w14:paraId="48EDFB16"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6CC667C9"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12888056" w14:textId="77777777">
          <w:pPr>
            <w:pStyle w:val="Piedepgina"/>
            <w:rPr>
              <w:b/>
              <w:color w:val="7F7F7F" w:themeColor="text1" w:themeTint="80"/>
              <w:sz w:val="16"/>
              <w:szCs w:val="16"/>
            </w:rPr>
          </w:pPr>
        </w:p>
      </w:tc>
      <w:tc>
        <w:tcPr>
          <w:tcW w:w="2943" w:type="dxa"/>
        </w:tcPr>
        <w:p w:rsidRPr="009349F3" w:rsidR="00517D62" w:rsidP="00855792" w:rsidRDefault="00517D62" w14:paraId="19B00F8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2506EE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2BC85D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8EA1F7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3419016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C98A" w14:textId="77777777" w:rsidR="007D3B3A" w:rsidRDefault="007D3B3A" w:rsidP="009349F3">
      <w:pPr>
        <w:spacing w:line="240" w:lineRule="auto"/>
      </w:pPr>
      <w:r>
        <w:separator/>
      </w:r>
    </w:p>
  </w:footnote>
  <w:footnote w:type="continuationSeparator" w:id="0">
    <w:p w14:paraId="18275621" w14:textId="77777777" w:rsidR="007D3B3A" w:rsidRDefault="007D3B3A"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3E78192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70FC2867" w14:textId="77777777">
    <w:pPr>
      <w:pStyle w:val="Encabezado"/>
    </w:pPr>
    <w:r>
      <w:ptab w:alignment="center" w:relativeTo="margin" w:leader="none"/>
    </w:r>
    <w:r>
      <w:rPr>
        <w:noProof/>
        <w:lang w:val="es-CR" w:eastAsia="es-CR"/>
      </w:rPr>
      <w:drawing>
        <wp:inline distT="0" distB="0" distL="0" distR="0" wp14:anchorId="15AC9CDC" wp14:editId="1A0A594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064AB16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3D8"/>
    <w:multiLevelType w:val="hybridMultilevel"/>
    <w:tmpl w:val="3078B11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FCA307C"/>
    <w:multiLevelType w:val="hybridMultilevel"/>
    <w:tmpl w:val="A100E3CC"/>
    <w:lvl w:ilvl="0" w:tplc="1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1680F"/>
    <w:multiLevelType w:val="hybridMultilevel"/>
    <w:tmpl w:val="FB0A4F3A"/>
    <w:lvl w:ilvl="0" w:tplc="140A0013">
      <w:start w:val="1"/>
      <w:numFmt w:val="upperRoman"/>
      <w:lvlText w:val="%1."/>
      <w:lvlJc w:val="righ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4" w15:restartNumberingAfterBreak="0">
    <w:nsid w:val="2A4316F7"/>
    <w:multiLevelType w:val="hybridMultilevel"/>
    <w:tmpl w:val="BFC46D96"/>
    <w:lvl w:ilvl="0" w:tplc="9FEA6C40">
      <w:start w:val="1"/>
      <w:numFmt w:val="decimal"/>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7145D11"/>
    <w:multiLevelType w:val="hybridMultilevel"/>
    <w:tmpl w:val="54B2AB64"/>
    <w:lvl w:ilvl="0" w:tplc="140A0001">
      <w:start w:val="1"/>
      <w:numFmt w:val="bullet"/>
      <w:lvlText w:val=""/>
      <w:lvlJc w:val="left"/>
      <w:pPr>
        <w:ind w:left="1788" w:hanging="360"/>
      </w:pPr>
      <w:rPr>
        <w:rFonts w:ascii="Symbol" w:hAnsi="Symbol" w:hint="default"/>
      </w:rPr>
    </w:lvl>
    <w:lvl w:ilvl="1" w:tplc="140A0003" w:tentative="1">
      <w:start w:val="1"/>
      <w:numFmt w:val="bullet"/>
      <w:lvlText w:val="o"/>
      <w:lvlJc w:val="left"/>
      <w:pPr>
        <w:ind w:left="2508" w:hanging="360"/>
      </w:pPr>
      <w:rPr>
        <w:rFonts w:ascii="Courier New" w:hAnsi="Courier New" w:cs="Courier New" w:hint="default"/>
      </w:rPr>
    </w:lvl>
    <w:lvl w:ilvl="2" w:tplc="140A0005" w:tentative="1">
      <w:start w:val="1"/>
      <w:numFmt w:val="bullet"/>
      <w:lvlText w:val=""/>
      <w:lvlJc w:val="left"/>
      <w:pPr>
        <w:ind w:left="3228" w:hanging="360"/>
      </w:pPr>
      <w:rPr>
        <w:rFonts w:ascii="Wingdings" w:hAnsi="Wingdings" w:hint="default"/>
      </w:rPr>
    </w:lvl>
    <w:lvl w:ilvl="3" w:tplc="140A0001">
      <w:start w:val="1"/>
      <w:numFmt w:val="bullet"/>
      <w:lvlText w:val=""/>
      <w:lvlJc w:val="left"/>
      <w:pPr>
        <w:ind w:left="3948" w:hanging="360"/>
      </w:pPr>
      <w:rPr>
        <w:rFonts w:ascii="Symbol" w:hAnsi="Symbol" w:hint="default"/>
      </w:rPr>
    </w:lvl>
    <w:lvl w:ilvl="4" w:tplc="140A0003" w:tentative="1">
      <w:start w:val="1"/>
      <w:numFmt w:val="bullet"/>
      <w:lvlText w:val="o"/>
      <w:lvlJc w:val="left"/>
      <w:pPr>
        <w:ind w:left="4668" w:hanging="360"/>
      </w:pPr>
      <w:rPr>
        <w:rFonts w:ascii="Courier New" w:hAnsi="Courier New" w:cs="Courier New" w:hint="default"/>
      </w:rPr>
    </w:lvl>
    <w:lvl w:ilvl="5" w:tplc="140A0005" w:tentative="1">
      <w:start w:val="1"/>
      <w:numFmt w:val="bullet"/>
      <w:lvlText w:val=""/>
      <w:lvlJc w:val="left"/>
      <w:pPr>
        <w:ind w:left="5388" w:hanging="360"/>
      </w:pPr>
      <w:rPr>
        <w:rFonts w:ascii="Wingdings" w:hAnsi="Wingdings" w:hint="default"/>
      </w:rPr>
    </w:lvl>
    <w:lvl w:ilvl="6" w:tplc="140A0001" w:tentative="1">
      <w:start w:val="1"/>
      <w:numFmt w:val="bullet"/>
      <w:lvlText w:val=""/>
      <w:lvlJc w:val="left"/>
      <w:pPr>
        <w:ind w:left="6108" w:hanging="360"/>
      </w:pPr>
      <w:rPr>
        <w:rFonts w:ascii="Symbol" w:hAnsi="Symbol" w:hint="default"/>
      </w:rPr>
    </w:lvl>
    <w:lvl w:ilvl="7" w:tplc="140A0003" w:tentative="1">
      <w:start w:val="1"/>
      <w:numFmt w:val="bullet"/>
      <w:lvlText w:val="o"/>
      <w:lvlJc w:val="left"/>
      <w:pPr>
        <w:ind w:left="6828" w:hanging="360"/>
      </w:pPr>
      <w:rPr>
        <w:rFonts w:ascii="Courier New" w:hAnsi="Courier New" w:cs="Courier New" w:hint="default"/>
      </w:rPr>
    </w:lvl>
    <w:lvl w:ilvl="8" w:tplc="140A0005" w:tentative="1">
      <w:start w:val="1"/>
      <w:numFmt w:val="bullet"/>
      <w:lvlText w:val=""/>
      <w:lvlJc w:val="left"/>
      <w:pPr>
        <w:ind w:left="7548" w:hanging="360"/>
      </w:pPr>
      <w:rPr>
        <w:rFonts w:ascii="Wingdings" w:hAnsi="Wingdings" w:hint="default"/>
      </w:rPr>
    </w:lvl>
  </w:abstractNum>
  <w:abstractNum w:abstractNumId="7" w15:restartNumberingAfterBreak="0">
    <w:nsid w:val="7A130361"/>
    <w:multiLevelType w:val="hybridMultilevel"/>
    <w:tmpl w:val="F6ACD3BC"/>
    <w:lvl w:ilvl="0" w:tplc="870432FA">
      <w:start w:val="1"/>
      <w:numFmt w:val="decimal"/>
      <w:lvlText w:val="%1."/>
      <w:lvlJc w:val="left"/>
      <w:pPr>
        <w:ind w:left="360" w:hanging="360"/>
      </w:pPr>
      <w:rPr>
        <w:rFonts w:ascii="Cambria" w:hAnsi="Cambria"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3A"/>
    <w:rsid w:val="00007516"/>
    <w:rsid w:val="00031FED"/>
    <w:rsid w:val="00073A2A"/>
    <w:rsid w:val="0007680F"/>
    <w:rsid w:val="000E3717"/>
    <w:rsid w:val="001319B9"/>
    <w:rsid w:val="00186D87"/>
    <w:rsid w:val="001A5DFB"/>
    <w:rsid w:val="001B6D55"/>
    <w:rsid w:val="001C0B55"/>
    <w:rsid w:val="00235A71"/>
    <w:rsid w:val="002B02F1"/>
    <w:rsid w:val="002D6ACD"/>
    <w:rsid w:val="002F27FB"/>
    <w:rsid w:val="00322C6D"/>
    <w:rsid w:val="00326EE5"/>
    <w:rsid w:val="003748B8"/>
    <w:rsid w:val="003B30D7"/>
    <w:rsid w:val="003F0C64"/>
    <w:rsid w:val="003F1BE5"/>
    <w:rsid w:val="004B672C"/>
    <w:rsid w:val="004C0778"/>
    <w:rsid w:val="00517D62"/>
    <w:rsid w:val="00530B01"/>
    <w:rsid w:val="005358CB"/>
    <w:rsid w:val="00576D83"/>
    <w:rsid w:val="005F7C14"/>
    <w:rsid w:val="0066384E"/>
    <w:rsid w:val="006972C9"/>
    <w:rsid w:val="006B5A99"/>
    <w:rsid w:val="006C1629"/>
    <w:rsid w:val="00765358"/>
    <w:rsid w:val="007A0926"/>
    <w:rsid w:val="007A534F"/>
    <w:rsid w:val="007D3B3A"/>
    <w:rsid w:val="007E035A"/>
    <w:rsid w:val="00815963"/>
    <w:rsid w:val="008200B7"/>
    <w:rsid w:val="00852F96"/>
    <w:rsid w:val="00855792"/>
    <w:rsid w:val="00886542"/>
    <w:rsid w:val="008E0DDE"/>
    <w:rsid w:val="00900B79"/>
    <w:rsid w:val="009207EA"/>
    <w:rsid w:val="0093137D"/>
    <w:rsid w:val="009349F3"/>
    <w:rsid w:val="009A15E6"/>
    <w:rsid w:val="009F5512"/>
    <w:rsid w:val="00A22A26"/>
    <w:rsid w:val="00A50ADB"/>
    <w:rsid w:val="00A76CC7"/>
    <w:rsid w:val="00A8273F"/>
    <w:rsid w:val="00A951C1"/>
    <w:rsid w:val="00AD24E3"/>
    <w:rsid w:val="00AE304A"/>
    <w:rsid w:val="00AF06C5"/>
    <w:rsid w:val="00B17FC6"/>
    <w:rsid w:val="00B33C0A"/>
    <w:rsid w:val="00B614A5"/>
    <w:rsid w:val="00B779B2"/>
    <w:rsid w:val="00BD2A91"/>
    <w:rsid w:val="00BE49AA"/>
    <w:rsid w:val="00C05DC6"/>
    <w:rsid w:val="00C9308D"/>
    <w:rsid w:val="00C931A0"/>
    <w:rsid w:val="00CF11EE"/>
    <w:rsid w:val="00D026F0"/>
    <w:rsid w:val="00D338AF"/>
    <w:rsid w:val="00D46844"/>
    <w:rsid w:val="00D910DC"/>
    <w:rsid w:val="00DA2424"/>
    <w:rsid w:val="00DD2EBF"/>
    <w:rsid w:val="00DE2D06"/>
    <w:rsid w:val="00E0460B"/>
    <w:rsid w:val="00E06F76"/>
    <w:rsid w:val="00E20B68"/>
    <w:rsid w:val="00E27F63"/>
    <w:rsid w:val="00E34205"/>
    <w:rsid w:val="00E34E8A"/>
    <w:rsid w:val="00E40319"/>
    <w:rsid w:val="00E81C39"/>
    <w:rsid w:val="00ED4B62"/>
    <w:rsid w:val="00EF3F46"/>
    <w:rsid w:val="00EF4E12"/>
    <w:rsid w:val="00F54371"/>
    <w:rsid w:val="00F91DC1"/>
    <w:rsid w:val="00FE35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73D139"/>
  <w15:chartTrackingRefBased/>
  <w15:docId w15:val="{C124C8B4-9592-41D3-AB3C-5CA6E6D0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D3B3A"/>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7D3B3A"/>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34"/>
    <w:locked/>
    <w:rsid w:val="007D3B3A"/>
  </w:style>
  <w:style w:type="paragraph" w:customStyle="1" w:styleId="Default">
    <w:name w:val="Default"/>
    <w:rsid w:val="007D3B3A"/>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1clara">
    <w:name w:val="Grid Table 1 Light"/>
    <w:basedOn w:val="Tablanormal"/>
    <w:uiPriority w:val="46"/>
    <w:rsid w:val="007D3B3A"/>
    <w:pPr>
      <w:spacing w:after="0" w:line="240" w:lineRule="auto"/>
    </w:pPr>
    <w:rPr>
      <w:rFonts w:ascii="Franklin Gothic Book" w:eastAsia="Calibri" w:hAnsi="Franklin Gothic Book" w:cs="Times New Roman"/>
      <w:sz w:val="20"/>
      <w:szCs w:val="20"/>
      <w:lang w:eastAsia="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unhideWhenUsed/>
    <w:rsid w:val="00B33C0A"/>
    <w:pPr>
      <w:spacing w:line="240" w:lineRule="auto"/>
    </w:pPr>
    <w:rPr>
      <w:sz w:val="20"/>
      <w:szCs w:val="20"/>
    </w:rPr>
  </w:style>
  <w:style w:type="character" w:customStyle="1" w:styleId="TextonotapieCar">
    <w:name w:val="Texto nota pie Car"/>
    <w:basedOn w:val="Fuentedeprrafopredeter"/>
    <w:link w:val="Textonotapie"/>
    <w:uiPriority w:val="99"/>
    <w:rsid w:val="00B33C0A"/>
    <w:rPr>
      <w:rFonts w:ascii="Cambria" w:eastAsia="Times New Roman" w:hAnsi="Cambria" w:cs="Times New Roman"/>
      <w:sz w:val="20"/>
      <w:szCs w:val="20"/>
      <w:lang w:val="es-ES"/>
    </w:rPr>
  </w:style>
  <w:style w:type="character" w:styleId="Refdenotaalpie">
    <w:name w:val="footnote reference"/>
    <w:basedOn w:val="Fuentedeprrafopredeter"/>
    <w:uiPriority w:val="99"/>
    <w:semiHidden/>
    <w:unhideWhenUsed/>
    <w:rsid w:val="00B33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plicaciones.sugeval.fi.cr/Participantes/AuditoresExtern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pps.icd.go.cr/uifreportes/Autenticacion.aspx"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rticulo15bis-crm@sugef.fi.c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DD9A204D4645D7AC3F2E51F191B5A2"/>
        <w:category>
          <w:name w:val="General"/>
          <w:gallery w:val="placeholder"/>
        </w:category>
        <w:types>
          <w:type w:val="bbPlcHdr"/>
        </w:types>
        <w:behaviors>
          <w:behavior w:val="content"/>
        </w:behaviors>
        <w:guid w:val="{F2475FEE-5192-4C6C-90FA-F8D78EDC7D4C}"/>
      </w:docPartPr>
      <w:docPartBody>
        <w:p w:rsidR="00466025" w:rsidRDefault="00A3603F" w:rsidP="00A3603F">
          <w:pPr>
            <w:pStyle w:val="5FDD9A204D4645D7AC3F2E51F191B5A2"/>
          </w:pPr>
          <w:r>
            <w:rPr>
              <w:rStyle w:val="Textodelmarcadordeposicin"/>
            </w:rPr>
            <w:t>Haga clic aquí para escribir texto.</w:t>
          </w:r>
        </w:p>
      </w:docPartBody>
    </w:docPart>
    <w:docPart>
      <w:docPartPr>
        <w:name w:val="33BBF965878E473B8FF646FEF70B4F89"/>
        <w:category>
          <w:name w:val="General"/>
          <w:gallery w:val="placeholder"/>
        </w:category>
        <w:types>
          <w:type w:val="bbPlcHdr"/>
        </w:types>
        <w:behaviors>
          <w:behavior w:val="content"/>
        </w:behaviors>
        <w:guid w:val="{20321692-E560-4724-A094-618D13462305}"/>
      </w:docPartPr>
      <w:docPartBody>
        <w:p w:rsidR="00466025" w:rsidRDefault="00A3603F" w:rsidP="00A3603F">
          <w:pPr>
            <w:pStyle w:val="33BBF965878E473B8FF646FEF70B4F8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3F"/>
    <w:rsid w:val="00466025"/>
    <w:rsid w:val="00A360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603F"/>
  </w:style>
  <w:style w:type="paragraph" w:customStyle="1" w:styleId="5FDD9A204D4645D7AC3F2E51F191B5A2">
    <w:name w:val="5FDD9A204D4645D7AC3F2E51F191B5A2"/>
    <w:rsid w:val="00A3603F"/>
  </w:style>
  <w:style w:type="paragraph" w:customStyle="1" w:styleId="33BBF965878E473B8FF646FEF70B4F89">
    <w:name w:val="33BBF965878E473B8FF646FEF70B4F89"/>
    <w:rsid w:val="00A36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lZz26hVJjXDdJKnxPxv4NiWRWD9jrZkk3CYRJAXjSFY=</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sBqq9FNl2jwntcBqV9FqMK2v5fvzg8XIaAAlwDBqeBo=</DigestValue>
    </Reference>
  </SignedInfo>
  <SignatureValue>g2c7howAk35aYmmHK7hrIpcXPKICPr/VdPf0g4CNNvnjBU4emwFQ5YYDbIiweTeablJ/5EdMR5PD
//xrbNOIVAcUe1Aa/7hHM/aE8GrriXl+SA0AGQwz5VgpGmQ8t8nKfXi90byrttBVVdKfVlfr+ZmH
LUJ4yUij6T9yzOhkxUcCmHIPVFq2QCiQgAXv7+4USKlG1Bg265TROnwvkkrbU2aJ+4pOycAYNyyg
rBGsrKCD5DFXKk40BfYZhFMoUwUJhKKQllc278QU0JDmpHxYvlsyKvMNgsfsNbN+iMNzuQ5bAAXM
uLhWtQs3DFmzBLUMKoYZW7hJcnjsnhf1HAk1qg==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rFU9FUDOOik8XpZn0V2PjNHVGO++WGrZfv667MaLqgQ=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b48cFr2unvOCLsZN5BzggDX/l6UJopuOKzoBS7Xih9A=</DigestValue>
      </Reference>
      <Reference URI="/word/endnotes.xml?ContentType=application/vnd.openxmlformats-officedocument.wordprocessingml.endnotes+xml">
        <DigestMethod Algorithm="http://www.w3.org/2001/04/xmlenc#sha256"/>
        <DigestValue>+iKow10zetIMo+Bba8SjhSNtjTpzHkE7sA+5I4TBxd8=</DigestValue>
      </Reference>
      <Reference URI="/word/fontTable.xml?ContentType=application/vnd.openxmlformats-officedocument.wordprocessingml.fontTable+xml">
        <DigestMethod Algorithm="http://www.w3.org/2001/04/xmlenc#sha256"/>
        <DigestValue>QRZiOGELib1MoDxObB6n/94Ojr1dFboj+ufsdA1eMpc=</DigestValue>
      </Reference>
      <Reference URI="/word/footer1.xml?ContentType=application/vnd.openxmlformats-officedocument.wordprocessingml.footer+xml">
        <DigestMethod Algorithm="http://www.w3.org/2001/04/xmlenc#sha256"/>
        <DigestValue>BrtSrl/BGrf1Yij0AMxaRiYSFETjMsJqIWl8kqH3pz0=</DigestValue>
      </Reference>
      <Reference URI="/word/footer2.xml?ContentType=application/vnd.openxmlformats-officedocument.wordprocessingml.footer+xml">
        <DigestMethod Algorithm="http://www.w3.org/2001/04/xmlenc#sha256"/>
        <DigestValue>fSw5RS9uwvxTskiwrk/d9i0gdCuAMQ1ubT637/y94CE=</DigestValue>
      </Reference>
      <Reference URI="/word/footer3.xml?ContentType=application/vnd.openxmlformats-officedocument.wordprocessingml.footer+xml">
        <DigestMethod Algorithm="http://www.w3.org/2001/04/xmlenc#sha256"/>
        <DigestValue>RuQNQ8Sxlov0eOLMR78jQsLZHea5iijehQIAfjqu1uo=</DigestValue>
      </Reference>
      <Reference URI="/word/footnotes.xml?ContentType=application/vnd.openxmlformats-officedocument.wordprocessingml.footnotes+xml">
        <DigestMethod Algorithm="http://www.w3.org/2001/04/xmlenc#sha256"/>
        <DigestValue>JkaMihKEc0YL5swlOIDK6IzJT1gLMIdtJNh7j0jlsm0=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XjU8rSrefCm2dnAvd+WRDfg9naF1f6uEz8gQPdx4SFo=</DigestValue>
      </Reference>
      <Reference URI="/word/glossary/fontTable.xml?ContentType=application/vnd.openxmlformats-officedocument.wordprocessingml.fontTable+xml">
        <DigestMethod Algorithm="http://www.w3.org/2001/04/xmlenc#sha256"/>
        <DigestValue>QRZiOGELib1MoDxObB6n/94Ojr1dFboj+ufsdA1eMpc=</DigestValue>
      </Reference>
      <Reference URI="/word/glossary/settings.xml?ContentType=application/vnd.openxmlformats-officedocument.wordprocessingml.settings+xml">
        <DigestMethod Algorithm="http://www.w3.org/2001/04/xmlenc#sha256"/>
        <DigestValue>1ZujKJYbK2DB5NWj/zMiQ2+n9h3KNVaSZnPmmXbJhuY=</DigestValue>
      </Reference>
      <Reference URI="/word/glossary/styles.xml?ContentType=application/vnd.openxmlformats-officedocument.wordprocessingml.styles+xml">
        <DigestMethod Algorithm="http://www.w3.org/2001/04/xmlenc#sha256"/>
        <DigestValue>i3jo2KadtWwhAlp7gYnf0eNFs07hUi+O3lBF1JkfSvg=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5WiuR3OjPzkui39AnkmHvGfui8QnmIe+vlND5XL5VNU=</DigestValue>
      </Reference>
      <Reference URI="/word/header2.xml?ContentType=application/vnd.openxmlformats-officedocument.wordprocessingml.header+xml">
        <DigestMethod Algorithm="http://www.w3.org/2001/04/xmlenc#sha256"/>
        <DigestValue>ay8b24OAPJIpEy0S7I2AceG9fo33PBAAHqK6/2beBdg=</DigestValue>
      </Reference>
      <Reference URI="/word/header3.xml?ContentType=application/vnd.openxmlformats-officedocument.wordprocessingml.header+xml">
        <DigestMethod Algorithm="http://www.w3.org/2001/04/xmlenc#sha256"/>
        <DigestValue>PCkMdGG3OWq1RN+lwuBOSRqO/md/R1iBsLBD5E6sJ6s=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yquwCMF/UB5ooMb4pz1wNg9wl6dXmMbqZ+nqVTMtg/0=</DigestValue>
      </Reference>
      <Reference URI="/word/settings.xml?ContentType=application/vnd.openxmlformats-officedocument.wordprocessingml.settings+xml">
        <DigestMethod Algorithm="http://www.w3.org/2001/04/xmlenc#sha256"/>
        <DigestValue>e+9l8Sm+6SMwXMbb99+46b0/juLD9t+zpJHd3QKaJZs=</DigestValue>
      </Reference>
      <Reference URI="/word/styles.xml?ContentType=application/vnd.openxmlformats-officedocument.wordprocessingml.styles+xml">
        <DigestMethod Algorithm="http://www.w3.org/2001/04/xmlenc#sha256"/>
        <DigestValue>Uxxk5pDjtm2EBLQpuNSAQIezQyub36PGAgpKP8pp55g=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2022-03-11T02:27:42Z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2022-03-11T02:27:42Z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XwWawaEYh8C5dLHyUfhRTOO42ryhCucuplJQXeHLDYCBA5O2AMYDzIwMjIwMzExMDIyNz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/ixsl1e3F44YWlFZTJjegUp1RNU=</xd:ByKey>
                  </xd:ResponderID>
                  <xd:ProducedAt>2022-03-11T02:25:46Z</xd:ProducedAt>
                </xd:OCSPIdentifier>
                <xd:DigestAlgAndValue>
                  <DigestMethod Algorithm="http://www.w3.org/2001/04/xmlenc#sha256"/>
                  <DigestValue>v853sUapFd3+OvpaCd78LnhgKJbDcDv0XowfiMg4c7s=</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SiMcFTd+Y3mJUF2iOSV0RMkG/B5ToKQWLvzy+4SbQICBA5O2AQYDzIwMjIwMzExMDIyNz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 xsi:nil="true"/>
    <Firmado xmlns="b875e23b-67d9-4b2e-bdec-edacbf90b326">true</Firmado>
    <Responsable xmlns="b875e23b-67d9-4b2e-bdec-edacbf90b326">
      <UserInfo>
        <DisplayName>BARRIOS SOLANO RODOLFO</DisplayName>
        <AccountId>2698</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i:0#.w|pdc-atlantida\amadormg</DisplayName>
        <AccountId>415</AccountId>
        <AccountType/>
      </UserInfo>
      <UserInfo>
        <DisplayName>i:0#.w|pdc-atlantida\cespedesbj</DisplayName>
        <AccountId>914</AccountId>
        <AccountType/>
      </UserInfo>
      <UserInfo>
        <DisplayName>i:0#.w|pdc-atlantida\brenesvi</DisplayName>
        <AccountId>2457</AccountId>
        <AccountType/>
      </UserInfo>
      <UserInfo>
        <DisplayName>i:0#.w|pdc-atlantida\barriossr</DisplayName>
        <AccountId>2698</AccountId>
        <AccountType/>
      </UserInfo>
      <UserInfo>
        <DisplayName>i:0#.w|pdc-atlantida\soleraqc</DisplayName>
        <AccountId>842</AccountId>
        <AccountType/>
      </UserInfo>
      <UserInfo>
        <DisplayName>i:0#.w|pdc-atlantida\delgadoos</DisplayName>
        <AccountId>2025</AccountId>
        <AccountType/>
      </UserInfo>
      <UserInfo>
        <DisplayName>i:0#.w|pdc-atlantida\corralesvc</DisplayName>
        <AccountId>2455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class="ExternalClass1EE04C4C34024734A2089520641C959E"&gt;&lt;p&gt;​Mediante oficio GER-0050-2022 del 1/3/2022, el BCCR responde que&amp;#160;es criterio del BCCR que&amp;#160;&amp;quot;&lt;span lang="ES" style="font-family&amp;#58;&amp;quot;cambria&amp;quot;,serif;font-size&amp;#58;12pt;"&gt;&lt;font color="#000000"&gt;la
SUGEF debe definir las condiciones que considera necesarias para verificar el
cumplimiento de la existencia de un marco adecuado de gobierno corporativo y
seguridad de la información&amp;quot;; por lo que no se generan observaciones a la propuesta de Resolución.&lt;/font&gt;&lt;/span&gt;&lt;/p&gt;&lt;/div&gt;</ObservacionesCorrespondencia>
    <Entrante_x0020_relacionado xmlns="b875e23b-67d9-4b2e-bdec-edacbf90b326">
      <Url>http://intranet/sites/gec2020/_layouts/15/listform.aspx?PageType=4&amp;ListId=%7B94E0F65A%2D45B3%2D4233%2D8B29%2D3F52BB0872F1%7D&amp;ID=3965&amp;ContentTypeID=0x0100F15FD46F57375A4E853E9E3D07C87E5E0026B0ADA1412E014289516414136D11CE</Url>
      <Description>http://intranet/sites/gec2020/_layouts/15/listform.aspx?PageType=4&amp;ListId=%7B94E0F65A%2D45B3%2D4233%2D8B29%2D3F52BB0872F1%7D&amp;ID=3965&amp;ContentTypeID=0x0100F15FD46F57375A4E853E9E3D07C87E5E0026B0ADA1412E014289516414136D11CE</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2022-03-03T06:00:00+00:00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SGF_CIRCULAR EXTERNA_SISTEMA PAGOS ART 6</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2.xml><?xml version="1.0" encoding="utf-8"?>
<ds:datastoreItem xmlns:ds="http://schemas.openxmlformats.org/officeDocument/2006/customXml" ds:itemID="{F52E0985-DE71-47CB-A111-7E2E42C66926}">
  <ds:schemaRefs>
    <ds:schemaRef ds:uri="http://purl.org/dc/dcmitype/"/>
    <ds:schemaRef ds:uri="http://schemas.microsoft.com/office/2006/metadata/properties"/>
    <ds:schemaRef ds:uri="http://schemas.microsoft.com/office/2006/documentManagement/types"/>
    <ds:schemaRef ds:uri="http://purl.org/dc/terms/"/>
    <ds:schemaRef ds:uri="b875e23b-67d9-4b2e-bdec-edacbf90b326"/>
    <ds:schemaRef ds:uri="http://schemas.microsoft.com/office/infopath/2007/PartnerControls"/>
    <ds:schemaRef ds:uri="http://purl.org/dc/elements/1.1/"/>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DACC75-DDC4-46AB-AAC2-51DEE20D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D835D-A61E-4E96-9B33-F5709B95D591}">
  <ds:schemaRefs>
    <ds:schemaRef ds:uri="office.server.policy"/>
  </ds:schemaRefs>
</ds:datastoreItem>
</file>

<file path=customXml/itemProps5.xml><?xml version="1.0" encoding="utf-8"?>
<ds:datastoreItem xmlns:ds="http://schemas.openxmlformats.org/officeDocument/2006/customXml" ds:itemID="{BE2529F7-833D-4FE6-BE59-B31FC5B85D69}">
  <ds:schemaRefs>
    <ds:schemaRef ds:uri="http://schemas.microsoft.com/sharepoint/events"/>
  </ds:schemaRefs>
</ds:datastoreItem>
</file>

<file path=customXml/itemProps6.xml><?xml version="1.0" encoding="utf-8"?>
<ds:datastoreItem xmlns:ds="http://schemas.openxmlformats.org/officeDocument/2006/customXml" ds:itemID="{C22688BD-0B3C-4DA6-8DAC-242C2B63CDAC}">
  <ds:schemaRefs>
    <ds:schemaRef ds:uri="http://schemas.openxmlformats.org/officeDocument/2006/bibliography"/>
  </ds:schemaRefs>
</ds:datastoreItem>
</file>

<file path=customXml/itemProps7.xml><?xml version="1.0" encoding="utf-8"?>
<ds:datastoreItem xmlns:ds="http://schemas.openxmlformats.org/officeDocument/2006/customXml" ds:itemID="{987A5CCC-A429-476F-A61D-62416FE12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165</TotalTime>
  <Pages>9</Pages>
  <Words>3052</Words>
  <Characters>16789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SGF_CIRCULAR EXTERNA_SISTEMA PAGOS ART 6</dc:subject>
  <dc:creator>BARRIOSSR@sugef.fi.cr</dc:creator>
  <cp:keywords/>
  <dc:description/>
  <cp:lastModifiedBy>BRENES VALENCIANO INGRID ROCIO</cp:lastModifiedBy>
  <cp:revision>64</cp:revision>
  <dcterms:created xsi:type="dcterms:W3CDTF">2022-03-03T21:53:00Z</dcterms:created>
  <dcterms:modified xsi:type="dcterms:W3CDTF">2022-03-10T16:22:00Z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118000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58129e4d-2a7c-4442-ab86-f4288b01d5ff,5;7dedacbb-5c77-4a35-8847-40abd1245d4d,7;</vt:lpwstr>
  </property>
</Properties>
</file>