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85B9E" w:rsidR="006972C9" w:rsidP="006F3FCB" w:rsidRDefault="006F3FCB" w14:paraId="0E11A085" w14:textId="0DDCE804">
      <w:pPr>
        <w:pStyle w:val="Texto"/>
        <w:spacing w:before="0" w:after="0" w:line="240" w:lineRule="auto"/>
        <w:jc w:val="center"/>
        <w:rPr>
          <w:b/>
          <w:bCs/>
          <w:szCs w:val="22"/>
        </w:rPr>
      </w:pPr>
      <w:r w:rsidRPr="00A85B9E">
        <w:rPr>
          <w:b/>
          <w:bCs/>
          <w:szCs w:val="22"/>
        </w:rPr>
        <w:t>RESOLUCIÓN</w:t>
      </w:r>
    </w:p>
    <w:sdt>
      <w:sdtPr>
        <w:rPr>
          <w:szCs w:val="22"/>
        </w:rPr>
        <w:alias w:val="Consecutivo"/>
        <w:tag w:val="Consecutivo"/>
        <w:id w:val="2052717023"/>
        <w:placeholder>
          <w:docPart w:val="AC67FE9D787242D68324838A6CC192B8"/>
        </w:placeholder>
        <w:text/>
      </w:sdtPr>
      <w:sdtEndPr/>
      <w:sdtContent>
        <w:p w:rsidRPr="00A85B9E" w:rsidR="006972C9" w:rsidP="006F3FCB" w:rsidRDefault="006972C9" w14:paraId="5547D62C" w14:textId="77777777">
          <w:pPr>
            <w:tabs>
              <w:tab w:val="left" w:pos="2843"/>
            </w:tabs>
            <w:spacing w:line="240" w:lineRule="auto"/>
            <w:jc w:val="center"/>
            <w:rPr>
              <w:szCs w:val="22"/>
            </w:rPr>
          </w:pPr>
          <w:r>
            <w:t>SGF-0063-2021</w:t>
          </w:r>
        </w:p>
      </w:sdtContent>
    </w:sdt>
    <w:p w:rsidRPr="00A85B9E" w:rsidR="006972C9" w:rsidP="006F3FCB" w:rsidRDefault="00D90E6B" w14:paraId="3FF0373E" w14:textId="6FB401A3">
      <w:pPr>
        <w:tabs>
          <w:tab w:val="left" w:pos="2843"/>
        </w:tabs>
        <w:spacing w:line="240" w:lineRule="auto"/>
        <w:jc w:val="center"/>
        <w:rPr>
          <w:szCs w:val="22"/>
        </w:rPr>
      </w:pPr>
      <w:sdt>
        <w:sdtPr>
          <w:rPr>
            <w:szCs w:val="22"/>
          </w:rPr>
          <w:alias w:val="Confidencialidad"/>
          <w:tag w:val="Confidencialidad"/>
          <w:id w:val="1447896894"/>
          <w:placeholder>
            <w:docPart w:val="1D3343CC4B39451AA4DCFFD4C0E4B30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A85B9E" w:rsidR="006F3FCB">
            <w:rPr>
              <w:szCs w:val="22"/>
            </w:rPr>
            <w:t>SGF-PUBLICO</w:t>
          </w:r>
        </w:sdtContent>
      </w:sdt>
    </w:p>
    <w:p w:rsidRPr="00A85B9E" w:rsidR="006972C9" w:rsidP="006972C9" w:rsidRDefault="006972C9" w14:paraId="7D841684" w14:textId="273ACFAB">
      <w:pPr>
        <w:tabs>
          <w:tab w:val="left" w:pos="2843"/>
        </w:tabs>
        <w:spacing w:line="240" w:lineRule="auto"/>
        <w:rPr>
          <w:szCs w:val="22"/>
        </w:rPr>
      </w:pPr>
    </w:p>
    <w:p w:rsidRPr="00A85B9E" w:rsidR="006F3FCB" w:rsidP="006F3FCB" w:rsidRDefault="006F3FCB" w14:paraId="0CA49615" w14:textId="77777777">
      <w:pPr>
        <w:jc w:val="center"/>
        <w:rPr>
          <w:rFonts w:cs="Arial"/>
          <w:b/>
          <w:szCs w:val="22"/>
        </w:rPr>
      </w:pPr>
      <w:r w:rsidRPr="00A85B9E">
        <w:rPr>
          <w:rFonts w:cs="Arial"/>
          <w:b/>
          <w:szCs w:val="22"/>
        </w:rPr>
        <w:t xml:space="preserve">LA SUPERINTENDENTE GENERAL DE LA SUPERINTENDENCIA GENERAL </w:t>
      </w:r>
    </w:p>
    <w:p w:rsidRPr="00A85B9E" w:rsidR="006F3FCB" w:rsidP="006F3FCB" w:rsidRDefault="006F3FCB" w14:paraId="211E6771" w14:textId="77777777">
      <w:pPr>
        <w:jc w:val="center"/>
        <w:rPr>
          <w:rFonts w:cs="Arial"/>
          <w:b/>
          <w:szCs w:val="22"/>
        </w:rPr>
      </w:pPr>
      <w:r w:rsidRPr="00A85B9E">
        <w:rPr>
          <w:rFonts w:cs="Arial"/>
          <w:b/>
          <w:szCs w:val="22"/>
        </w:rPr>
        <w:t>DE ENTIDADES FINANCIERAS</w:t>
      </w:r>
    </w:p>
    <w:p w:rsidRPr="00A85B9E" w:rsidR="006F3FCB" w:rsidP="006F3FCB" w:rsidRDefault="006F3FCB" w14:paraId="26731C4A" w14:textId="77777777">
      <w:pPr>
        <w:rPr>
          <w:rFonts w:cs="Arial"/>
          <w:szCs w:val="22"/>
        </w:rPr>
      </w:pPr>
    </w:p>
    <w:p w:rsidRPr="00A85B9E" w:rsidR="006F3FCB" w:rsidP="006F3FCB" w:rsidRDefault="006F3FCB" w14:paraId="29110C3D" w14:textId="77777777">
      <w:pPr>
        <w:outlineLvl w:val="0"/>
        <w:rPr>
          <w:rFonts w:cs="Arial"/>
          <w:b/>
          <w:szCs w:val="22"/>
        </w:rPr>
      </w:pPr>
      <w:r w:rsidRPr="00A85B9E">
        <w:rPr>
          <w:rFonts w:cs="Arial"/>
          <w:b/>
          <w:szCs w:val="22"/>
        </w:rPr>
        <w:t>Considerando que:</w:t>
      </w:r>
    </w:p>
    <w:p w:rsidRPr="00A85B9E" w:rsidR="006F3FCB" w:rsidP="006F3FCB" w:rsidRDefault="006F3FCB" w14:paraId="0E0F5355" w14:textId="77777777">
      <w:pPr>
        <w:rPr>
          <w:rFonts w:cs="Arial"/>
          <w:szCs w:val="22"/>
        </w:rPr>
      </w:pPr>
    </w:p>
    <w:p w:rsidRPr="00A85B9E" w:rsidR="006F3FCB" w:rsidP="006F3FCB" w:rsidRDefault="006F3FCB" w14:paraId="7CFCAF2E" w14:textId="77777777">
      <w:pPr>
        <w:numPr>
          <w:ilvl w:val="0"/>
          <w:numId w:val="3"/>
        </w:numPr>
        <w:autoSpaceDE w:val="0"/>
        <w:autoSpaceDN w:val="0"/>
        <w:adjustRightInd w:val="0"/>
        <w:spacing w:line="240" w:lineRule="auto"/>
        <w:ind w:left="426" w:hanging="426"/>
        <w:rPr>
          <w:rFonts w:cs="Arial"/>
          <w:szCs w:val="22"/>
        </w:rPr>
      </w:pPr>
      <w:r w:rsidRPr="00A85B9E">
        <w:rPr>
          <w:rFonts w:cs="Arial"/>
          <w:szCs w:val="22"/>
        </w:rPr>
        <w:t xml:space="preserve">El Artículo 7 de la </w:t>
      </w:r>
      <w:r w:rsidRPr="00A85B9E">
        <w:rPr>
          <w:rFonts w:cs="Arial"/>
          <w:i/>
          <w:szCs w:val="22"/>
        </w:rPr>
        <w:t>Ley Orgánica del Sistema Bancario Nacional</w:t>
      </w:r>
      <w:r w:rsidRPr="00A85B9E">
        <w:rPr>
          <w:rFonts w:cs="Arial"/>
          <w:szCs w:val="22"/>
        </w:rPr>
        <w:t xml:space="preserve"> (Ley 1644) establece que la </w:t>
      </w:r>
      <w:r w:rsidRPr="00A85B9E">
        <w:rPr>
          <w:rFonts w:cs="Arial"/>
          <w:i/>
          <w:szCs w:val="22"/>
        </w:rPr>
        <w:t>Superintendencia General de Entidades Financieras</w:t>
      </w:r>
      <w:r w:rsidRPr="00A85B9E">
        <w:rPr>
          <w:rFonts w:cs="Arial"/>
          <w:szCs w:val="22"/>
        </w:rPr>
        <w:t xml:space="preserve"> (SUGEF) debe revalorar cada dos años el monto de las multas inicial y diaria, a que están afectas las personas físicas o jurídicas que, sin formar parte del Sistema Bancario Nacional utilicen en el nombre comercial, en la papelería o en la publicidad, las palabras </w:t>
      </w:r>
      <w:r w:rsidRPr="00A85B9E">
        <w:rPr>
          <w:rFonts w:cs="Arial"/>
          <w:i/>
          <w:szCs w:val="22"/>
        </w:rPr>
        <w:t>banco</w:t>
      </w:r>
      <w:r w:rsidRPr="00A85B9E">
        <w:rPr>
          <w:rFonts w:cs="Arial"/>
          <w:szCs w:val="22"/>
        </w:rPr>
        <w:t xml:space="preserve">, o </w:t>
      </w:r>
      <w:r w:rsidRPr="00A85B9E">
        <w:rPr>
          <w:rFonts w:cs="Arial"/>
          <w:i/>
          <w:szCs w:val="22"/>
        </w:rPr>
        <w:t>establecimiento bancario</w:t>
      </w:r>
      <w:r w:rsidRPr="00A85B9E">
        <w:rPr>
          <w:rFonts w:cs="Arial"/>
          <w:szCs w:val="22"/>
        </w:rPr>
        <w:t xml:space="preserve"> o derivados de estos términos que califiquen sus actividades como de carácter bancario, o bien, que ejecuten o anuncien la ejecución de operaciones reservadas de modo exclusivo a las instituciones bancarias.</w:t>
      </w:r>
    </w:p>
    <w:p w:rsidRPr="00A85B9E" w:rsidR="006F3FCB" w:rsidP="006F3FCB" w:rsidRDefault="006F3FCB" w14:paraId="04D9669C" w14:textId="77777777">
      <w:pPr>
        <w:autoSpaceDE w:val="0"/>
        <w:autoSpaceDN w:val="0"/>
        <w:adjustRightInd w:val="0"/>
        <w:ind w:left="426" w:hanging="426"/>
        <w:rPr>
          <w:rFonts w:cs="Arial"/>
          <w:szCs w:val="22"/>
        </w:rPr>
      </w:pPr>
    </w:p>
    <w:p w:rsidRPr="00A85B9E" w:rsidR="006F3FCB" w:rsidP="006F3FCB" w:rsidRDefault="006F3FCB" w14:paraId="23421B8E" w14:textId="77777777">
      <w:pPr>
        <w:numPr>
          <w:ilvl w:val="0"/>
          <w:numId w:val="3"/>
        </w:numPr>
        <w:autoSpaceDE w:val="0"/>
        <w:autoSpaceDN w:val="0"/>
        <w:adjustRightInd w:val="0"/>
        <w:spacing w:line="240" w:lineRule="auto"/>
        <w:ind w:left="426" w:hanging="426"/>
        <w:rPr>
          <w:rFonts w:cs="Arial"/>
          <w:szCs w:val="22"/>
        </w:rPr>
      </w:pPr>
      <w:r w:rsidRPr="00A85B9E">
        <w:rPr>
          <w:rFonts w:cs="Arial"/>
          <w:szCs w:val="22"/>
        </w:rPr>
        <w:t xml:space="preserve">La última revaloración de las multas realizada por la </w:t>
      </w:r>
      <w:r w:rsidRPr="00A85B9E">
        <w:rPr>
          <w:rFonts w:cs="Arial"/>
          <w:i/>
          <w:szCs w:val="22"/>
        </w:rPr>
        <w:t>Superintendencia General de Entidades Financieras</w:t>
      </w:r>
      <w:r w:rsidRPr="00A85B9E">
        <w:rPr>
          <w:rFonts w:cs="Arial"/>
          <w:szCs w:val="22"/>
        </w:rPr>
        <w:t xml:space="preserve"> fue mediante la Resolución SGF-3421-2019 del 18 de octubre de 2019, la cual tomó en consideración la variación en el índice de precios al consumidor a noviembre de 2018. Dicha revaloración fue publicada en La Gaceta No. 25 del 07 de febrero de 2020.</w:t>
      </w:r>
    </w:p>
    <w:p w:rsidRPr="00FC658E" w:rsidR="006F3FCB" w:rsidP="00FC658E" w:rsidRDefault="006F3FCB" w14:paraId="3A27E8DC" w14:textId="77777777">
      <w:pPr>
        <w:rPr>
          <w:rFonts w:cs="Arial"/>
          <w:szCs w:val="22"/>
        </w:rPr>
      </w:pPr>
    </w:p>
    <w:p w:rsidRPr="00A85B9E" w:rsidR="006F3FCB" w:rsidP="006F3FCB" w:rsidRDefault="006F3FCB" w14:paraId="25857140" w14:textId="77777777">
      <w:pPr>
        <w:pStyle w:val="Prrafodelista"/>
        <w:numPr>
          <w:ilvl w:val="0"/>
          <w:numId w:val="3"/>
        </w:numPr>
        <w:ind w:left="426" w:hanging="426"/>
        <w:jc w:val="both"/>
        <w:outlineLvl w:val="0"/>
        <w:rPr>
          <w:rFonts w:ascii="Cambria" w:hAnsi="Cambria" w:cs="Arial"/>
          <w:sz w:val="22"/>
          <w:szCs w:val="22"/>
        </w:rPr>
      </w:pPr>
      <w:r w:rsidRPr="00A85B9E">
        <w:rPr>
          <w:rFonts w:ascii="Cambria" w:hAnsi="Cambria" w:cs="Arial"/>
          <w:sz w:val="22"/>
          <w:szCs w:val="22"/>
        </w:rPr>
        <w:t>Es necesario revalorar el monto de las multas determinadas en la Resolución SGF-3421-2019, en la misma proporción en que aumentó el índice de precios al consumidor de noviembre de 2018 a noviembre de 2020, según el siguiente detalle:</w:t>
      </w:r>
    </w:p>
    <w:p w:rsidRPr="00A85B9E" w:rsidR="006F3FCB" w:rsidP="006F3FCB" w:rsidRDefault="006F3FCB" w14:paraId="0B567A7F" w14:textId="77777777">
      <w:pPr>
        <w:autoSpaceDE w:val="0"/>
        <w:autoSpaceDN w:val="0"/>
        <w:adjustRightInd w:val="0"/>
        <w:rPr>
          <w:rFonts w:cs="Arial"/>
          <w:szCs w:val="22"/>
        </w:rPr>
      </w:pPr>
    </w:p>
    <w:tbl>
      <w:tblPr>
        <w:tblW w:w="3552" w:type="pct"/>
        <w:jc w:val="center"/>
        <w:tblCellMar>
          <w:left w:w="70" w:type="dxa"/>
          <w:right w:w="70" w:type="dxa"/>
        </w:tblCellMar>
        <w:tblLook w:val="04A0" w:firstRow="1" w:lastRow="0" w:firstColumn="1" w:lastColumn="0" w:noHBand="0" w:noVBand="1"/>
      </w:tblPr>
      <w:tblGrid>
        <w:gridCol w:w="1724"/>
        <w:gridCol w:w="795"/>
        <w:gridCol w:w="1160"/>
        <w:gridCol w:w="1469"/>
        <w:gridCol w:w="1379"/>
      </w:tblGrid>
      <w:tr w:rsidRPr="00A85B9E" w:rsidR="006F3FCB" w:rsidTr="006F3FCB" w14:paraId="4FC70114" w14:textId="77777777">
        <w:trPr>
          <w:trHeight w:val="252"/>
          <w:jc w:val="center"/>
        </w:trPr>
        <w:tc>
          <w:tcPr>
            <w:tcW w:w="1263" w:type="pct"/>
            <w:tcBorders>
              <w:top w:val="single" w:color="auto" w:sz="8" w:space="0"/>
              <w:left w:val="single" w:color="auto" w:sz="8" w:space="0"/>
              <w:bottom w:val="single" w:color="auto" w:sz="4" w:space="0"/>
              <w:right w:val="single" w:color="auto" w:sz="4" w:space="0"/>
            </w:tcBorders>
            <w:shd w:val="clear" w:color="auto" w:fill="D9D9D9" w:themeFill="background1" w:themeFillShade="D9"/>
            <w:noWrap/>
            <w:vAlign w:val="bottom"/>
            <w:hideMark/>
          </w:tcPr>
          <w:p w:rsidRPr="00A85B9E" w:rsidR="006F3FCB" w:rsidRDefault="006F3FCB" w14:paraId="0FA6103D" w14:textId="77777777">
            <w:pPr>
              <w:jc w:val="center"/>
              <w:rPr>
                <w:rFonts w:cs="Arial"/>
                <w:b/>
                <w:bCs/>
                <w:szCs w:val="22"/>
              </w:rPr>
            </w:pPr>
            <w:r w:rsidRPr="00A85B9E">
              <w:rPr>
                <w:rFonts w:cs="Arial"/>
                <w:b/>
                <w:bCs/>
                <w:szCs w:val="22"/>
              </w:rPr>
              <w:t>Mes</w:t>
            </w:r>
          </w:p>
        </w:tc>
        <w:tc>
          <w:tcPr>
            <w:tcW w:w="722" w:type="pct"/>
            <w:tcBorders>
              <w:top w:val="single" w:color="auto" w:sz="8" w:space="0"/>
              <w:left w:val="nil"/>
              <w:bottom w:val="single" w:color="auto" w:sz="4" w:space="0"/>
              <w:right w:val="single" w:color="auto" w:sz="4" w:space="0"/>
            </w:tcBorders>
            <w:shd w:val="clear" w:color="auto" w:fill="D9D9D9" w:themeFill="background1" w:themeFillShade="D9"/>
            <w:noWrap/>
            <w:vAlign w:val="bottom"/>
            <w:hideMark/>
          </w:tcPr>
          <w:p w:rsidRPr="00A85B9E" w:rsidR="006F3FCB" w:rsidRDefault="006F3FCB" w14:paraId="70C9AD2E" w14:textId="77777777">
            <w:pPr>
              <w:jc w:val="center"/>
              <w:rPr>
                <w:rFonts w:cs="Arial"/>
                <w:b/>
                <w:bCs/>
                <w:szCs w:val="22"/>
              </w:rPr>
            </w:pPr>
            <w:r w:rsidRPr="00A85B9E">
              <w:rPr>
                <w:rFonts w:cs="Arial"/>
                <w:b/>
                <w:bCs/>
                <w:szCs w:val="22"/>
              </w:rPr>
              <w:t>Índice</w:t>
            </w:r>
          </w:p>
        </w:tc>
        <w:tc>
          <w:tcPr>
            <w:tcW w:w="905" w:type="pct"/>
            <w:tcBorders>
              <w:top w:val="single" w:color="auto" w:sz="8" w:space="0"/>
              <w:left w:val="nil"/>
              <w:bottom w:val="single" w:color="auto" w:sz="4" w:space="0"/>
              <w:right w:val="single" w:color="auto" w:sz="4" w:space="0"/>
            </w:tcBorders>
            <w:shd w:val="clear" w:color="auto" w:fill="D9D9D9" w:themeFill="background1" w:themeFillShade="D9"/>
            <w:noWrap/>
            <w:vAlign w:val="bottom"/>
            <w:hideMark/>
          </w:tcPr>
          <w:p w:rsidRPr="00A85B9E" w:rsidR="006F3FCB" w:rsidRDefault="006F3FCB" w14:paraId="0405A052" w14:textId="77777777">
            <w:pPr>
              <w:jc w:val="center"/>
              <w:rPr>
                <w:rFonts w:cs="Arial"/>
                <w:b/>
                <w:bCs/>
                <w:szCs w:val="22"/>
              </w:rPr>
            </w:pPr>
            <w:r w:rsidRPr="00A85B9E">
              <w:rPr>
                <w:rFonts w:cs="Arial"/>
                <w:b/>
                <w:bCs/>
                <w:szCs w:val="22"/>
              </w:rPr>
              <w:t>Variación</w:t>
            </w:r>
          </w:p>
        </w:tc>
        <w:tc>
          <w:tcPr>
            <w:tcW w:w="1100" w:type="pct"/>
            <w:tcBorders>
              <w:top w:val="single" w:color="auto" w:sz="8" w:space="0"/>
              <w:left w:val="nil"/>
              <w:bottom w:val="single" w:color="auto" w:sz="4" w:space="0"/>
              <w:right w:val="single" w:color="auto" w:sz="4" w:space="0"/>
            </w:tcBorders>
            <w:shd w:val="clear" w:color="auto" w:fill="D9D9D9" w:themeFill="background1" w:themeFillShade="D9"/>
            <w:noWrap/>
            <w:vAlign w:val="bottom"/>
            <w:hideMark/>
          </w:tcPr>
          <w:p w:rsidRPr="00A85B9E" w:rsidR="006F3FCB" w:rsidRDefault="006F3FCB" w14:paraId="66E41EC3" w14:textId="77777777">
            <w:pPr>
              <w:jc w:val="center"/>
              <w:rPr>
                <w:rFonts w:cs="Arial"/>
                <w:b/>
                <w:bCs/>
                <w:szCs w:val="22"/>
              </w:rPr>
            </w:pPr>
            <w:r w:rsidRPr="00A85B9E">
              <w:rPr>
                <w:rFonts w:cs="Arial"/>
                <w:b/>
                <w:bCs/>
                <w:szCs w:val="22"/>
              </w:rPr>
              <w:t>Multa inicial</w:t>
            </w:r>
          </w:p>
        </w:tc>
        <w:tc>
          <w:tcPr>
            <w:tcW w:w="1011" w:type="pct"/>
            <w:tcBorders>
              <w:top w:val="single" w:color="auto" w:sz="8" w:space="0"/>
              <w:left w:val="nil"/>
              <w:bottom w:val="single" w:color="auto" w:sz="4" w:space="0"/>
              <w:right w:val="single" w:color="auto" w:sz="8" w:space="0"/>
            </w:tcBorders>
            <w:shd w:val="clear" w:color="auto" w:fill="D9D9D9" w:themeFill="background1" w:themeFillShade="D9"/>
            <w:noWrap/>
            <w:vAlign w:val="bottom"/>
            <w:hideMark/>
          </w:tcPr>
          <w:p w:rsidRPr="00A85B9E" w:rsidR="006F3FCB" w:rsidRDefault="006F3FCB" w14:paraId="587D08CA" w14:textId="77777777">
            <w:pPr>
              <w:jc w:val="center"/>
              <w:rPr>
                <w:rFonts w:cs="Arial"/>
                <w:b/>
                <w:bCs/>
                <w:szCs w:val="22"/>
              </w:rPr>
            </w:pPr>
            <w:r w:rsidRPr="00A85B9E">
              <w:rPr>
                <w:rFonts w:cs="Arial"/>
                <w:b/>
                <w:bCs/>
                <w:szCs w:val="22"/>
              </w:rPr>
              <w:t>Multa diaria</w:t>
            </w:r>
          </w:p>
        </w:tc>
      </w:tr>
      <w:tr w:rsidRPr="00A85B9E" w:rsidR="006F3FCB" w:rsidTr="006F3FCB" w14:paraId="6C1B6004" w14:textId="77777777">
        <w:trPr>
          <w:trHeight w:val="289"/>
          <w:jc w:val="center"/>
        </w:trPr>
        <w:tc>
          <w:tcPr>
            <w:tcW w:w="1263" w:type="pct"/>
            <w:tcBorders>
              <w:top w:val="single" w:color="auto" w:sz="4" w:space="0"/>
              <w:left w:val="single" w:color="auto" w:sz="8" w:space="0"/>
              <w:bottom w:val="single" w:color="auto" w:sz="4" w:space="0"/>
              <w:right w:val="single" w:color="auto" w:sz="4" w:space="0"/>
            </w:tcBorders>
            <w:noWrap/>
            <w:vAlign w:val="bottom"/>
            <w:hideMark/>
          </w:tcPr>
          <w:p w:rsidRPr="00A85B9E" w:rsidR="006F3FCB" w:rsidRDefault="006F3FCB" w14:paraId="208131FC" w14:textId="77777777">
            <w:pPr>
              <w:rPr>
                <w:color w:val="000000"/>
                <w:szCs w:val="22"/>
              </w:rPr>
            </w:pPr>
            <w:r w:rsidRPr="00A85B9E">
              <w:rPr>
                <w:rFonts w:cs="Arial"/>
                <w:color w:val="000000"/>
                <w:szCs w:val="22"/>
              </w:rPr>
              <w:t>Noviembre 2018</w:t>
            </w:r>
          </w:p>
        </w:tc>
        <w:tc>
          <w:tcPr>
            <w:tcW w:w="722" w:type="pct"/>
            <w:tcBorders>
              <w:top w:val="nil"/>
              <w:left w:val="nil"/>
              <w:bottom w:val="single" w:color="auto" w:sz="4" w:space="0"/>
              <w:right w:val="single" w:color="auto" w:sz="4" w:space="0"/>
            </w:tcBorders>
            <w:noWrap/>
            <w:vAlign w:val="bottom"/>
            <w:hideMark/>
          </w:tcPr>
          <w:p w:rsidRPr="00A85B9E" w:rsidR="006F3FCB" w:rsidRDefault="006F3FCB" w14:paraId="17676299" w14:textId="77777777">
            <w:pPr>
              <w:jc w:val="center"/>
              <w:rPr>
                <w:color w:val="000000"/>
                <w:szCs w:val="22"/>
              </w:rPr>
            </w:pPr>
            <w:r w:rsidRPr="00A85B9E">
              <w:rPr>
                <w:rFonts w:cs="Arial"/>
                <w:color w:val="000000"/>
                <w:szCs w:val="22"/>
              </w:rPr>
              <w:t>104,30</w:t>
            </w:r>
          </w:p>
        </w:tc>
        <w:tc>
          <w:tcPr>
            <w:tcW w:w="905" w:type="pct"/>
            <w:tcBorders>
              <w:top w:val="nil"/>
              <w:left w:val="nil"/>
              <w:bottom w:val="single" w:color="auto" w:sz="4" w:space="0"/>
              <w:right w:val="single" w:color="auto" w:sz="4" w:space="0"/>
            </w:tcBorders>
            <w:noWrap/>
            <w:vAlign w:val="bottom"/>
            <w:hideMark/>
          </w:tcPr>
          <w:p w:rsidRPr="00A85B9E" w:rsidR="006F3FCB" w:rsidRDefault="006F3FCB" w14:paraId="743E3715" w14:textId="3DD03F97">
            <w:pPr>
              <w:jc w:val="right"/>
              <w:rPr>
                <w:color w:val="000000"/>
                <w:szCs w:val="22"/>
              </w:rPr>
            </w:pPr>
          </w:p>
        </w:tc>
        <w:tc>
          <w:tcPr>
            <w:tcW w:w="1100" w:type="pct"/>
            <w:tcBorders>
              <w:top w:val="nil"/>
              <w:left w:val="nil"/>
              <w:bottom w:val="single" w:color="auto" w:sz="4" w:space="0"/>
              <w:right w:val="single" w:color="auto" w:sz="4" w:space="0"/>
            </w:tcBorders>
            <w:noWrap/>
            <w:vAlign w:val="bottom"/>
            <w:hideMark/>
          </w:tcPr>
          <w:p w:rsidRPr="00A85B9E" w:rsidR="006F3FCB" w:rsidRDefault="006F3FCB" w14:paraId="11D426FA" w14:textId="77777777">
            <w:pPr>
              <w:jc w:val="right"/>
              <w:rPr>
                <w:color w:val="000000"/>
                <w:szCs w:val="22"/>
              </w:rPr>
            </w:pPr>
            <w:r w:rsidRPr="00A85B9E">
              <w:rPr>
                <w:rFonts w:cs="Arial"/>
                <w:color w:val="000000"/>
                <w:szCs w:val="22"/>
              </w:rPr>
              <w:t>¢1.940.624,00</w:t>
            </w:r>
          </w:p>
        </w:tc>
        <w:tc>
          <w:tcPr>
            <w:tcW w:w="1011" w:type="pct"/>
            <w:tcBorders>
              <w:top w:val="nil"/>
              <w:left w:val="nil"/>
              <w:bottom w:val="single" w:color="auto" w:sz="4" w:space="0"/>
              <w:right w:val="single" w:color="auto" w:sz="4" w:space="0"/>
            </w:tcBorders>
            <w:noWrap/>
            <w:vAlign w:val="bottom"/>
            <w:hideMark/>
          </w:tcPr>
          <w:p w:rsidRPr="00A85B9E" w:rsidR="006F3FCB" w:rsidRDefault="006F3FCB" w14:paraId="12E81286" w14:textId="77777777">
            <w:pPr>
              <w:jc w:val="right"/>
              <w:rPr>
                <w:color w:val="000000"/>
                <w:szCs w:val="22"/>
              </w:rPr>
            </w:pPr>
            <w:r w:rsidRPr="00A85B9E">
              <w:rPr>
                <w:rFonts w:cs="Arial"/>
                <w:color w:val="000000"/>
                <w:szCs w:val="22"/>
              </w:rPr>
              <w:t>¢38.811,23</w:t>
            </w:r>
          </w:p>
        </w:tc>
      </w:tr>
      <w:tr w:rsidRPr="00A85B9E" w:rsidR="006F3FCB" w:rsidTr="006F3FCB" w14:paraId="77F2924C" w14:textId="77777777">
        <w:trPr>
          <w:trHeight w:val="128"/>
          <w:jc w:val="center"/>
        </w:trPr>
        <w:tc>
          <w:tcPr>
            <w:tcW w:w="1263" w:type="pct"/>
            <w:tcBorders>
              <w:top w:val="nil"/>
              <w:left w:val="single" w:color="auto" w:sz="8" w:space="0"/>
              <w:bottom w:val="single" w:color="auto" w:sz="8" w:space="0"/>
              <w:right w:val="single" w:color="auto" w:sz="4" w:space="0"/>
            </w:tcBorders>
            <w:noWrap/>
            <w:vAlign w:val="bottom"/>
            <w:hideMark/>
          </w:tcPr>
          <w:p w:rsidRPr="00A85B9E" w:rsidR="006F3FCB" w:rsidRDefault="006F3FCB" w14:paraId="713F6246" w14:textId="77777777">
            <w:pPr>
              <w:rPr>
                <w:color w:val="000000"/>
                <w:szCs w:val="22"/>
              </w:rPr>
            </w:pPr>
            <w:r w:rsidRPr="00A85B9E">
              <w:rPr>
                <w:rFonts w:cs="Arial"/>
                <w:color w:val="000000"/>
                <w:szCs w:val="22"/>
              </w:rPr>
              <w:t>Noviembre 2020</w:t>
            </w:r>
          </w:p>
        </w:tc>
        <w:tc>
          <w:tcPr>
            <w:tcW w:w="722" w:type="pct"/>
            <w:tcBorders>
              <w:top w:val="nil"/>
              <w:left w:val="nil"/>
              <w:bottom w:val="single" w:color="auto" w:sz="8" w:space="0"/>
              <w:right w:val="single" w:color="auto" w:sz="4" w:space="0"/>
            </w:tcBorders>
            <w:noWrap/>
            <w:vAlign w:val="bottom"/>
            <w:hideMark/>
          </w:tcPr>
          <w:p w:rsidRPr="00A85B9E" w:rsidR="006F3FCB" w:rsidRDefault="006F3FCB" w14:paraId="27AA1C21" w14:textId="77777777">
            <w:pPr>
              <w:jc w:val="center"/>
              <w:rPr>
                <w:color w:val="000000"/>
                <w:szCs w:val="22"/>
              </w:rPr>
            </w:pPr>
            <w:r w:rsidRPr="00A85B9E">
              <w:rPr>
                <w:rFonts w:cs="Arial"/>
                <w:color w:val="000000"/>
                <w:szCs w:val="22"/>
              </w:rPr>
              <w:t>106,50</w:t>
            </w:r>
          </w:p>
        </w:tc>
        <w:tc>
          <w:tcPr>
            <w:tcW w:w="905" w:type="pct"/>
            <w:tcBorders>
              <w:top w:val="nil"/>
              <w:left w:val="nil"/>
              <w:bottom w:val="single" w:color="auto" w:sz="8" w:space="0"/>
              <w:right w:val="single" w:color="auto" w:sz="4" w:space="0"/>
            </w:tcBorders>
            <w:noWrap/>
            <w:vAlign w:val="bottom"/>
            <w:hideMark/>
          </w:tcPr>
          <w:p w:rsidRPr="00A85B9E" w:rsidR="006F3FCB" w:rsidRDefault="006F3FCB" w14:paraId="4405EBD7" w14:textId="77777777">
            <w:pPr>
              <w:jc w:val="right"/>
              <w:rPr>
                <w:color w:val="000000"/>
                <w:szCs w:val="22"/>
              </w:rPr>
            </w:pPr>
            <w:r w:rsidRPr="00A85B9E">
              <w:rPr>
                <w:rFonts w:cs="Arial"/>
                <w:color w:val="000000"/>
                <w:szCs w:val="22"/>
              </w:rPr>
              <w:t>0,0210930</w:t>
            </w:r>
          </w:p>
        </w:tc>
        <w:tc>
          <w:tcPr>
            <w:tcW w:w="1100" w:type="pct"/>
            <w:tcBorders>
              <w:top w:val="nil"/>
              <w:left w:val="nil"/>
              <w:bottom w:val="single" w:color="auto" w:sz="8" w:space="0"/>
              <w:right w:val="single" w:color="auto" w:sz="4" w:space="0"/>
            </w:tcBorders>
            <w:noWrap/>
            <w:vAlign w:val="bottom"/>
            <w:hideMark/>
          </w:tcPr>
          <w:p w:rsidRPr="00A85B9E" w:rsidR="006F3FCB" w:rsidRDefault="006F3FCB" w14:paraId="32356661" w14:textId="77777777">
            <w:pPr>
              <w:jc w:val="right"/>
              <w:rPr>
                <w:color w:val="000000"/>
                <w:szCs w:val="22"/>
              </w:rPr>
            </w:pPr>
            <w:r w:rsidRPr="00A85B9E">
              <w:rPr>
                <w:rFonts w:cs="Arial"/>
                <w:color w:val="000000"/>
                <w:szCs w:val="22"/>
              </w:rPr>
              <w:t>¢1.981.557,58</w:t>
            </w:r>
          </w:p>
        </w:tc>
        <w:tc>
          <w:tcPr>
            <w:tcW w:w="1011" w:type="pct"/>
            <w:tcBorders>
              <w:top w:val="nil"/>
              <w:left w:val="nil"/>
              <w:bottom w:val="single" w:color="auto" w:sz="8" w:space="0"/>
              <w:right w:val="single" w:color="auto" w:sz="4" w:space="0"/>
            </w:tcBorders>
            <w:noWrap/>
            <w:vAlign w:val="bottom"/>
            <w:hideMark/>
          </w:tcPr>
          <w:p w:rsidRPr="00A85B9E" w:rsidR="006F3FCB" w:rsidRDefault="006F3FCB" w14:paraId="45A577D2" w14:textId="77777777">
            <w:pPr>
              <w:jc w:val="right"/>
              <w:rPr>
                <w:color w:val="000000"/>
                <w:szCs w:val="22"/>
              </w:rPr>
            </w:pPr>
            <w:r w:rsidRPr="00A85B9E">
              <w:rPr>
                <w:rFonts w:cs="Arial"/>
                <w:color w:val="000000"/>
                <w:szCs w:val="22"/>
              </w:rPr>
              <w:t>¢39.629,88</w:t>
            </w:r>
          </w:p>
        </w:tc>
      </w:tr>
    </w:tbl>
    <w:p w:rsidRPr="00A85B9E" w:rsidR="006F3FCB" w:rsidP="00A85B9E" w:rsidRDefault="006F3FCB" w14:paraId="3F104351" w14:textId="77777777">
      <w:pPr>
        <w:rPr>
          <w:rFonts w:cs="Arial"/>
          <w:szCs w:val="22"/>
        </w:rPr>
      </w:pPr>
    </w:p>
    <w:p w:rsidRPr="00A85B9E" w:rsidR="006F3FCB" w:rsidP="006F3FCB" w:rsidRDefault="006F3FCB" w14:paraId="6DF3431B" w14:textId="77777777">
      <w:pPr>
        <w:outlineLvl w:val="0"/>
        <w:rPr>
          <w:rFonts w:cs="Arial"/>
          <w:b/>
          <w:szCs w:val="22"/>
        </w:rPr>
      </w:pPr>
      <w:r w:rsidRPr="00A85B9E">
        <w:rPr>
          <w:rFonts w:cs="Arial"/>
          <w:b/>
          <w:szCs w:val="22"/>
        </w:rPr>
        <w:t>Resuelve:</w:t>
      </w:r>
    </w:p>
    <w:p w:rsidRPr="00A85B9E" w:rsidR="006F3FCB" w:rsidP="006F3FCB" w:rsidRDefault="006F3FCB" w14:paraId="286243FE" w14:textId="77777777">
      <w:pPr>
        <w:rPr>
          <w:rFonts w:cs="Arial"/>
          <w:szCs w:val="22"/>
        </w:rPr>
      </w:pPr>
    </w:p>
    <w:p w:rsidRPr="00A85B9E" w:rsidR="006F3FCB" w:rsidP="006F3FCB" w:rsidRDefault="006F3FCB" w14:paraId="5CD73160" w14:textId="77777777">
      <w:pPr>
        <w:numPr>
          <w:ilvl w:val="0"/>
          <w:numId w:val="4"/>
        </w:numPr>
        <w:spacing w:line="240" w:lineRule="auto"/>
        <w:rPr>
          <w:rFonts w:cs="Arial"/>
          <w:szCs w:val="22"/>
        </w:rPr>
      </w:pPr>
      <w:r w:rsidRPr="00A85B9E">
        <w:rPr>
          <w:rFonts w:cs="Arial"/>
          <w:szCs w:val="22"/>
        </w:rPr>
        <w:t>Actualizar el monto de las multas establecidas en el Artículo 7 de la “</w:t>
      </w:r>
      <w:r w:rsidRPr="00A85B9E">
        <w:rPr>
          <w:rFonts w:cs="Arial"/>
          <w:i/>
          <w:szCs w:val="22"/>
        </w:rPr>
        <w:t>Ley Orgánica del Sistema Bancario Nacional</w:t>
      </w:r>
      <w:r w:rsidRPr="00A85B9E">
        <w:rPr>
          <w:rFonts w:cs="Arial"/>
          <w:szCs w:val="22"/>
        </w:rPr>
        <w:t>” (Ley 1644), según se indica a continuación:</w:t>
      </w:r>
    </w:p>
    <w:p w:rsidRPr="00A85B9E" w:rsidR="006F3FCB" w:rsidP="006F3FCB" w:rsidRDefault="006F3FCB" w14:paraId="468E225E" w14:textId="77777777">
      <w:pPr>
        <w:ind w:left="360"/>
        <w:rPr>
          <w:rFonts w:cs="Arial"/>
          <w:szCs w:val="22"/>
        </w:rPr>
      </w:pPr>
    </w:p>
    <w:p w:rsidRPr="00A85B9E" w:rsidR="006F3FCB" w:rsidP="006F3FCB" w:rsidRDefault="006F3FCB" w14:paraId="55C9389A" w14:textId="77777777">
      <w:pPr>
        <w:ind w:left="360" w:firstLine="348"/>
        <w:outlineLvl w:val="0"/>
        <w:rPr>
          <w:rFonts w:cs="Arial"/>
          <w:szCs w:val="22"/>
        </w:rPr>
      </w:pPr>
      <w:r w:rsidRPr="00A85B9E">
        <w:rPr>
          <w:rFonts w:cs="Arial"/>
          <w:szCs w:val="22"/>
        </w:rPr>
        <w:t xml:space="preserve">Monto de la multa inicial:    </w:t>
      </w:r>
      <w:r w:rsidRPr="00A85B9E">
        <w:rPr>
          <w:rFonts w:cs="Arial"/>
          <w:color w:val="000000"/>
          <w:szCs w:val="22"/>
        </w:rPr>
        <w:t>¢1.981.557,58</w:t>
      </w:r>
    </w:p>
    <w:p w:rsidRPr="00A85B9E" w:rsidR="006F3FCB" w:rsidP="006F3FCB" w:rsidRDefault="006F3FCB" w14:paraId="238D5E96" w14:textId="77777777">
      <w:pPr>
        <w:ind w:left="360" w:firstLine="348"/>
        <w:rPr>
          <w:rFonts w:cs="Arial"/>
          <w:szCs w:val="22"/>
        </w:rPr>
      </w:pPr>
      <w:r w:rsidRPr="00A85B9E">
        <w:rPr>
          <w:rFonts w:cs="Arial"/>
          <w:szCs w:val="22"/>
        </w:rPr>
        <w:t xml:space="preserve">Monto de la multa diaria:    ¢      </w:t>
      </w:r>
      <w:r w:rsidRPr="00A85B9E">
        <w:rPr>
          <w:rFonts w:cs="Arial"/>
          <w:color w:val="000000"/>
          <w:szCs w:val="22"/>
        </w:rPr>
        <w:t>39.629,88</w:t>
      </w:r>
    </w:p>
    <w:p w:rsidRPr="00A85B9E" w:rsidR="006F3FCB" w:rsidP="006F3FCB" w:rsidRDefault="006F3FCB" w14:paraId="017276E3" w14:textId="77777777">
      <w:pPr>
        <w:tabs>
          <w:tab w:val="num" w:pos="426"/>
        </w:tabs>
        <w:ind w:left="426" w:hanging="426"/>
        <w:rPr>
          <w:rFonts w:cs="Arial"/>
          <w:szCs w:val="22"/>
        </w:rPr>
      </w:pPr>
    </w:p>
    <w:p w:rsidRPr="00A85B9E" w:rsidR="006F3FCB" w:rsidP="006F3FCB" w:rsidRDefault="006F3FCB" w14:paraId="1F47A681" w14:textId="77777777">
      <w:pPr>
        <w:numPr>
          <w:ilvl w:val="0"/>
          <w:numId w:val="4"/>
        </w:numPr>
        <w:tabs>
          <w:tab w:val="clear" w:pos="360"/>
          <w:tab w:val="num" w:pos="426"/>
        </w:tabs>
        <w:spacing w:line="240" w:lineRule="auto"/>
        <w:ind w:left="426" w:hanging="426"/>
        <w:rPr>
          <w:rFonts w:cs="Arial"/>
          <w:szCs w:val="22"/>
        </w:rPr>
      </w:pPr>
      <w:r w:rsidRPr="00A85B9E">
        <w:rPr>
          <w:rFonts w:cs="Arial"/>
          <w:szCs w:val="22"/>
        </w:rPr>
        <w:t>Rige a partir de su publicación en La Gaceta.</w:t>
      </w:r>
    </w:p>
    <w:p w:rsidRPr="00A85B9E" w:rsidR="006F3FCB" w:rsidP="006F3FCB" w:rsidRDefault="006F3FCB" w14:paraId="1ACB53A5" w14:textId="77777777">
      <w:pPr>
        <w:outlineLvl w:val="0"/>
        <w:rPr>
          <w:rFonts w:cs="Arial"/>
          <w:szCs w:val="22"/>
        </w:rPr>
      </w:pPr>
    </w:p>
    <w:p w:rsidRPr="00A85B9E" w:rsidR="006F3FCB" w:rsidP="006F3FCB" w:rsidRDefault="00FC658E" w14:paraId="0554A970" w14:textId="028728B4">
      <w:pPr>
        <w:outlineLvl w:val="0"/>
        <w:rPr>
          <w:rFonts w:cs="Arial"/>
          <w:szCs w:val="22"/>
        </w:rPr>
      </w:pPr>
      <w:r w:rsidRPr="00A85B9E">
        <w:rPr>
          <w:noProof/>
          <w:szCs w:val="22"/>
          <w:lang w:val="es-CR" w:eastAsia="es-CR"/>
        </w:rPr>
        <w:drawing>
          <wp:anchor distT="0" distB="0" distL="114300" distR="114300" simplePos="0" relativeHeight="251659264" behindDoc="1" locked="0" layoutInCell="1" allowOverlap="1" wp14:editId="42A7CCD4" wp14:anchorId="6DD11E2E">
            <wp:simplePos x="0" y="0"/>
            <wp:positionH relativeFrom="margin">
              <wp:posOffset>-10795</wp:posOffset>
            </wp:positionH>
            <wp:positionV relativeFrom="paragraph">
              <wp:posOffset>168910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A85B9E" w:rsidR="006F3FCB">
        <w:rPr>
          <w:rFonts w:cs="Arial"/>
          <w:szCs w:val="22"/>
        </w:rPr>
        <w:t xml:space="preserve">San José, </w:t>
      </w:r>
      <w:r w:rsidR="00D90E6B">
        <w:rPr>
          <w:rFonts w:cs="Arial"/>
          <w:szCs w:val="22"/>
        </w:rPr>
        <w:t>11</w:t>
      </w:r>
      <w:bookmarkStart w:name="_GoBack" w:id="0"/>
      <w:bookmarkEnd w:id="0"/>
      <w:r w:rsidRPr="00A85B9E" w:rsidR="006F3FCB">
        <w:rPr>
          <w:rFonts w:cs="Arial"/>
          <w:szCs w:val="22"/>
        </w:rPr>
        <w:t xml:space="preserve"> de enero de 2021.</w:t>
      </w:r>
    </w:p>
    <w:p w:rsidRPr="00A85B9E" w:rsidR="006F3FCB" w:rsidP="00A85B9E" w:rsidRDefault="006F3FCB" w14:paraId="1DCC1A38" w14:textId="64BE4A4F">
      <w:pPr>
        <w:spacing w:line="240" w:lineRule="auto"/>
        <w:rPr>
          <w:szCs w:val="22"/>
        </w:rPr>
      </w:pPr>
    </w:p>
    <w:p w:rsidRPr="00A85B9E" w:rsidR="006F3FCB" w:rsidP="00A85B9E" w:rsidRDefault="006F3FCB" w14:paraId="1034820F" w14:textId="07C3869E">
      <w:pPr>
        <w:spacing w:line="240" w:lineRule="auto"/>
        <w:rPr>
          <w:szCs w:val="22"/>
        </w:rPr>
      </w:pPr>
    </w:p>
    <w:p w:rsidRPr="00A85B9E" w:rsidR="00A85B9E" w:rsidP="00A85B9E" w:rsidRDefault="00025A68" w14:paraId="46E187BC" w14:textId="77777777">
      <w:pPr>
        <w:spacing w:line="240" w:lineRule="auto"/>
        <w:jc w:val="left"/>
        <w:rPr>
          <w:szCs w:val="22"/>
        </w:rPr>
      </w:pPr>
      <w:r w:rsidRPr="00A85B9E">
        <w:rPr>
          <w:szCs w:val="22"/>
        </w:rPr>
        <w:t>Rocío Aguilar Montoya</w:t>
      </w:r>
    </w:p>
    <w:p w:rsidRPr="00A85B9E" w:rsidR="006972C9" w:rsidP="00A85B9E" w:rsidRDefault="00025A68" w14:paraId="1824F10E" w14:textId="552112C9">
      <w:pPr>
        <w:spacing w:line="240" w:lineRule="auto"/>
        <w:jc w:val="left"/>
        <w:rPr>
          <w:szCs w:val="22"/>
        </w:rPr>
      </w:pPr>
      <w:r w:rsidRPr="00A85B9E">
        <w:rPr>
          <w:b/>
          <w:bCs/>
          <w:szCs w:val="22"/>
        </w:rPr>
        <w:t>Superintendente General</w:t>
      </w:r>
    </w:p>
    <w:p w:rsidRPr="00FC658E" w:rsidR="003C2F0D" w:rsidP="00A85B9E" w:rsidRDefault="003C2F0D" w14:paraId="5C4064F3" w14:textId="64BAF6C8">
      <w:pPr>
        <w:pStyle w:val="Negrita"/>
        <w:spacing w:line="240" w:lineRule="auto"/>
        <w:jc w:val="left"/>
        <w:rPr>
          <w:noProof/>
          <w:sz w:val="16"/>
          <w:szCs w:val="16"/>
          <w:lang w:val="es-CR" w:eastAsia="es-CR"/>
        </w:rPr>
      </w:pPr>
    </w:p>
    <w:p w:rsidRPr="00D90E6B" w:rsidR="006F3FCB" w:rsidP="00A85B9E" w:rsidRDefault="006F3FCB" w14:paraId="739A4027" w14:textId="12CFAC9F">
      <w:pPr>
        <w:pStyle w:val="Negrita"/>
        <w:spacing w:line="240" w:lineRule="auto"/>
        <w:rPr>
          <w:sz w:val="16"/>
          <w:szCs w:val="16"/>
          <w:lang w:val="en-US"/>
        </w:rPr>
      </w:pPr>
      <w:r w:rsidRPr="00D90E6B">
        <w:rPr>
          <w:sz w:val="16"/>
          <w:szCs w:val="16"/>
          <w:lang w:val="en-US"/>
        </w:rPr>
        <w:t>JSC/EMS/CVC/MOM/gvl*</w:t>
      </w:r>
    </w:p>
    <w:sectPr w:rsidRPr="00D90E6B" w:rsidR="006F3FCB">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F74A5" w14:textId="77777777" w:rsidR="00C13FAC" w:rsidRDefault="00C13FAC" w:rsidP="009349F3">
      <w:pPr>
        <w:spacing w:line="240" w:lineRule="auto"/>
      </w:pPr>
      <w:r>
        <w:separator/>
      </w:r>
    </w:p>
  </w:endnote>
  <w:endnote w:type="continuationSeparator" w:id="0">
    <w:p w14:paraId="2DEFD438" w14:textId="77777777" w:rsidR="00C13FAC" w:rsidRDefault="00C13FAC"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58E" w:rsidRDefault="00FC658E" w14:paraId="449BB970"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15B67BFE" w14:textId="77777777">
      <w:tc>
        <w:tcPr>
          <w:tcW w:w="2942" w:type="dxa"/>
        </w:tcPr>
        <w:p w:rsidR="00517D62" w:rsidRDefault="00517D62" w14:paraId="7AE39754"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147C4D">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6B5A77CC" w14:textId="59E4AACE">
          <w:pPr>
            <w:pStyle w:val="Piedepgina"/>
            <w:rPr>
              <w:b/>
              <w:color w:val="7F7F7F" w:themeColor="text1" w:themeTint="80"/>
              <w:sz w:val="16"/>
              <w:szCs w:val="16"/>
            </w:rPr>
          </w:pPr>
          <w:r>
            <w:rPr>
              <w:b/>
              <w:color w:val="7F7F7F" w:themeColor="text1" w:themeTint="80"/>
              <w:sz w:val="16"/>
              <w:szCs w:val="16"/>
            </w:rPr>
            <w:t>Facsímile:</w:t>
          </w:r>
          <w:r w:rsidR="00147C4D">
            <w:rPr>
              <w:b/>
              <w:color w:val="7F7F7F" w:themeColor="text1" w:themeTint="80"/>
              <w:sz w:val="16"/>
              <w:szCs w:val="16"/>
            </w:rPr>
            <w:t xml:space="preserve"> (506) 2243-4849</w:t>
          </w:r>
        </w:p>
      </w:tc>
      <w:tc>
        <w:tcPr>
          <w:tcW w:w="2943" w:type="dxa"/>
        </w:tcPr>
        <w:p w:rsidRPr="009349F3" w:rsidR="00517D62" w:rsidP="00855792" w:rsidRDefault="00517D62" w14:paraId="08B2B377"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4A9B9480"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4D9CDC26"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147C4D">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14BF7F1E"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58E" w:rsidRDefault="00FC658E" w14:paraId="1C7D715A"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B7981" w14:textId="77777777" w:rsidR="00C13FAC" w:rsidRDefault="00C13FAC" w:rsidP="009349F3">
      <w:pPr>
        <w:spacing w:line="240" w:lineRule="auto"/>
      </w:pPr>
      <w:r>
        <w:separator/>
      </w:r>
    </w:p>
  </w:footnote>
  <w:footnote w:type="continuationSeparator" w:id="0">
    <w:p w14:paraId="31F2BAF8" w14:textId="77777777" w:rsidR="00C13FAC" w:rsidRDefault="00C13FAC"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58E" w:rsidRDefault="00FC658E" w14:paraId="52E67633"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B9E" w:rsidRDefault="009349F3" w14:paraId="62E5A515" w14:textId="77777777">
    <w:pPr>
      <w:pStyle w:val="Encabezado"/>
    </w:pPr>
    <w:r>
      <w:ptab w:alignment="center" w:relativeTo="margin" w:leader="none"/>
    </w:r>
    <w:r>
      <w:rPr>
        <w:noProof/>
        <w:lang w:val="es-CR" w:eastAsia="es-CR"/>
      </w:rPr>
      <w:drawing>
        <wp:inline distT="0" distB="0" distL="0" distR="0" wp14:anchorId="23284B78" wp14:editId="5BE40BD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58E" w:rsidRDefault="00FC658E" w14:paraId="383D228B"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3A7"/>
    <w:multiLevelType w:val="hybridMultilevel"/>
    <w:tmpl w:val="46E05416"/>
    <w:lvl w:ilvl="0" w:tplc="E81C10B0">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6FA1360A"/>
    <w:multiLevelType w:val="singleLevel"/>
    <w:tmpl w:val="D6D0AB02"/>
    <w:lvl w:ilvl="0">
      <w:start w:val="1"/>
      <w:numFmt w:val="decimal"/>
      <w:lvlText w:val="%1."/>
      <w:legacy w:legacy="1" w:legacySpace="0" w:legacyIndent="360"/>
      <w:lvlJc w:val="left"/>
      <w:pPr>
        <w:ind w:left="0" w:firstLine="0"/>
      </w:pPr>
      <w:rPr>
        <w:rFonts w:ascii="Book Antiqua" w:hAnsi="Book Antiqua" w:hint="default"/>
      </w:rPr>
    </w:lvl>
  </w:abstractNum>
  <w:num w:numId="1">
    <w:abstractNumId w:val="1"/>
  </w:num>
  <w:num w:numId="2">
    <w:abstractNumId w:val="2"/>
  </w:num>
  <w:num w:numId="3">
    <w:abstractNumId w:val="3"/>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AC"/>
    <w:rsid w:val="00025A68"/>
    <w:rsid w:val="00147C4D"/>
    <w:rsid w:val="0016769E"/>
    <w:rsid w:val="001712E1"/>
    <w:rsid w:val="003C2F0D"/>
    <w:rsid w:val="00517D62"/>
    <w:rsid w:val="006972C9"/>
    <w:rsid w:val="006F3FCB"/>
    <w:rsid w:val="008200B7"/>
    <w:rsid w:val="00855792"/>
    <w:rsid w:val="00856F59"/>
    <w:rsid w:val="008D27E7"/>
    <w:rsid w:val="00900B79"/>
    <w:rsid w:val="009349F3"/>
    <w:rsid w:val="009577C0"/>
    <w:rsid w:val="00A85B9E"/>
    <w:rsid w:val="00AF06C5"/>
    <w:rsid w:val="00B7752A"/>
    <w:rsid w:val="00C13FAC"/>
    <w:rsid w:val="00D90E6B"/>
    <w:rsid w:val="00DE2D06"/>
    <w:rsid w:val="00E6346C"/>
    <w:rsid w:val="00EA3AA9"/>
    <w:rsid w:val="00FC658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2DF99A"/>
  <w15:chartTrackingRefBased/>
  <w15:docId w15:val="{7A8C7483-51AA-41B4-BE1A-D0BB4F2A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D27E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7E7"/>
    <w:rPr>
      <w:rFonts w:ascii="Segoe UI" w:eastAsia="Times New Roman" w:hAnsi="Segoe UI" w:cs="Segoe UI"/>
      <w:sz w:val="18"/>
      <w:szCs w:val="18"/>
      <w:lang w:val="es-ES"/>
    </w:rPr>
  </w:style>
  <w:style w:type="paragraph" w:styleId="Prrafodelista">
    <w:name w:val="List Paragraph"/>
    <w:basedOn w:val="Normal"/>
    <w:uiPriority w:val="34"/>
    <w:qFormat/>
    <w:rsid w:val="006F3FCB"/>
    <w:pPr>
      <w:spacing w:line="240" w:lineRule="auto"/>
      <w:ind w:left="720"/>
      <w:contextualSpacing/>
      <w:jc w:val="left"/>
    </w:pPr>
    <w:rPr>
      <w:rFonts w:ascii="Times New Roman" w:hAnsi="Times New Roman"/>
      <w:sz w:val="24"/>
      <w:lang w:val="es-C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994111">
      <w:bodyDiv w:val="1"/>
      <w:marLeft w:val="0"/>
      <w:marRight w:val="0"/>
      <w:marTop w:val="0"/>
      <w:marBottom w:val="0"/>
      <w:divBdr>
        <w:top w:val="none" w:sz="0" w:space="0" w:color="auto"/>
        <w:left w:val="none" w:sz="0" w:space="0" w:color="auto"/>
        <w:bottom w:val="none" w:sz="0" w:space="0" w:color="auto"/>
        <w:right w:val="none" w:sz="0" w:space="0" w:color="auto"/>
      </w:divBdr>
    </w:div>
    <w:div w:id="739252658">
      <w:bodyDiv w:val="1"/>
      <w:marLeft w:val="0"/>
      <w:marRight w:val="0"/>
      <w:marTop w:val="0"/>
      <w:marBottom w:val="0"/>
      <w:divBdr>
        <w:top w:val="none" w:sz="0" w:space="0" w:color="auto"/>
        <w:left w:val="none" w:sz="0" w:space="0" w:color="auto"/>
        <w:bottom w:val="none" w:sz="0" w:space="0" w:color="auto"/>
        <w:right w:val="none" w:sz="0" w:space="0" w:color="auto"/>
      </w:divBdr>
    </w:div>
    <w:div w:id="15306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BorradoresInfCrediticia/Forms/Correspondencia%20Externa%20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67FE9D787242D68324838A6CC192B8"/>
        <w:category>
          <w:name w:val="General"/>
          <w:gallery w:val="placeholder"/>
        </w:category>
        <w:types>
          <w:type w:val="bbPlcHdr"/>
        </w:types>
        <w:behaviors>
          <w:behavior w:val="content"/>
        </w:behaviors>
        <w:guid w:val="{9A412798-7A63-4F53-9198-008265135782}"/>
      </w:docPartPr>
      <w:docPartBody>
        <w:p w:rsidR="00065EEC" w:rsidRDefault="00065EEC">
          <w:pPr>
            <w:pStyle w:val="AC67FE9D787242D68324838A6CC192B8"/>
          </w:pPr>
          <w:r w:rsidRPr="001E0779">
            <w:rPr>
              <w:rStyle w:val="Textodelmarcadordeposicin"/>
            </w:rPr>
            <w:t>Haga clic aquí para escribir texto.</w:t>
          </w:r>
        </w:p>
      </w:docPartBody>
    </w:docPart>
    <w:docPart>
      <w:docPartPr>
        <w:name w:val="1D3343CC4B39451AA4DCFFD4C0E4B300"/>
        <w:category>
          <w:name w:val="General"/>
          <w:gallery w:val="placeholder"/>
        </w:category>
        <w:types>
          <w:type w:val="bbPlcHdr"/>
        </w:types>
        <w:behaviors>
          <w:behavior w:val="content"/>
        </w:behaviors>
        <w:guid w:val="{AAB74ADC-61E5-4210-A31A-5995FAE7A057}"/>
      </w:docPartPr>
      <w:docPartBody>
        <w:p w:rsidR="00065EEC" w:rsidRDefault="00065EEC">
          <w:pPr>
            <w:pStyle w:val="1D3343CC4B39451AA4DCFFD4C0E4B30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EC"/>
    <w:rsid w:val="00065EE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AC67FE9D787242D68324838A6CC192B8">
    <w:name w:val="AC67FE9D787242D68324838A6CC192B8"/>
  </w:style>
  <w:style w:type="paragraph" w:customStyle="1" w:styleId="1D3343CC4B39451AA4DCFFD4C0E4B300">
    <w:name w:val="1D3343CC4B39451AA4DCFFD4C0E4B3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CRomG6VRq5sQx8Sq9DhcKUXh0N1hT2+n6wnk9QJw8zw=</DigestValue>
    </Reference>
    <Reference Type="http://www.w3.org/2000/09/xmldsig#Object" URI="#idOfficeObject">
      <DigestMethod Algorithm="http://www.w3.org/2001/04/xmlenc#sha256"/>
      <DigestValue>BgkmpNQHnoQ0T2x3CSqbSBpnavWekmr04aV472H36nQ=</DigestValue>
    </Reference>
    <Reference Type="http://uri.etsi.org/01903#SignedProperties" URI="#idSignedProperties">
      <Transforms>
        <Transform Algorithm="http://www.w3.org/TR/2001/REC-xml-c14n-20010315"/>
      </Transforms>
      <DigestMethod Algorithm="http://www.w3.org/2001/04/xmlenc#sha256"/>
      <DigestValue>tPopiYc5ZmhEKFinRwjv4acXjKprmJMgeC2BaDaFy9g=</DigestValue>
    </Reference>
  </SignedInfo>
  <SignatureValue>gYu4YMO1x0+Cw9mSuU1twEycikX2rI20+ixD7sxftH1qCnwNsyuhaxvvZbg6hzXWmqKV/5mYrdei
OW1pfws1deJnJroEmuJkvin5Jk0sk93mgEes3H01fCJYL0UW1jks+mqscilW9/ntF2z0Q1D2KlwI
NUiZ1AXtH76dzaikXeNHMZlq2blrLPlvTkJzm38WGHhKE6CGzJ6QAxUcNl+LkdZNHnorqqgX8wun
Lk9m4TU9lKC97AVZbkDEt0VQGsn0jbuBXkeqM1KBC0oDYtwAVumhcFqZlLQWcdqIcOQ1SbBOGwr2
7gP2v0HEHnGlZuysuLF2er2Z4r4NS/dTfh+ToQ==</SignatureValue>
  <KeyInfo>
    <X509Data>
      <X509Certificate>MIIFuTCCBKGgAwIBAgITFAABXMFPe7CJ2YdyOgAAAAFcwTANBgkqhkiG9w0BAQsFADCBmTEZMBcGA1UEBRMQQ1BKLTQtMDAwLTAwNDAxNzELMAkGA1UEBhMCQ1IxJDAiBgNVBAoTG0JBTkNPIENFTlRSQUwgREUgQ09TVEEgUklDQTEiMCAGA1UECxMZRElWSVNJT04gU0lTVEVNQVMgREUgUEFHTzElMCMGA1UEAxMcQ0EgU0lOUEUgLSBQRVJTT05BIEZJU0lDQSB2MjAeFw0xNzAzMzEyMTEzMDdaFw0yMTAzMzAyMTEzMDd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Nvwr4Ld/1OlB0kmwoZUtyDbCVV0XbSi/GM8VgI3bRH3tgYw06KwaUeocO51jwhfc2cvj+FtXz1Y8WvUcQlUccpkbXVMiKVNq4LYBtwK+0LOQRsMofWMRtd816VHlvtSDsENurDV1+OpL+6TX+DJfL7FZlzg+gRhhqAqS33MX/7pruMmWwWy9aPWdMsfUujIBLRXuoFtAD8KyCc1bUrqAfiQyaSgyCObq5oiy0f8sxs3RFjPQCSjl1b3NirThLsQ+V7dy8iHSGXcpWVbV8zcJfDsLOgFm2sEplYckjKbB6Ugw1F3Kd6v8QgUi81mFxT9wxqbuvt/xuNv/vAsDluZ39MCAwEAAaOCAdQwggHQMB0GA1UdDgQWBBSLj1zf9Y+W9ZvFRblRurilJ14DgD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CmnC5c5Cx5t8k1E2cgX5TYtG5WK9zyeIRXkvXhfk++dAxOQLcp+hRFfFbwqgbDzZqQ+dwq3/JaLpcG7rxI8E7JnXMa09Vr+FlgU1JW2gtT91SyOlk5CU4WzVhDZgNpZjeheliCwCbL4/pgVatmYFv+CYgQiB6RskQkJICwGUCmlroUKA7siAPbWn6zmqpb+3gsGMGabH7AC6LwoHDjaFBQW0wdYEef2Phw6y1A9tKXKr8GLBIcXZF1oifMsSo5dBzJbM7myX/01EX+7v+z5IyhacQ2U1tFgvTlKJVHpfC7tymXG2ldl1mNVJ8CajfQdR6iK06kq443CYi0/Ym63B7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CHp4d7v4N60c5M7XqpZNFv56oZdACSMVuh9BHxtnA+4=</DigestValue>
      </Reference>
      <Reference URI="/word/document.xml?ContentType=application/vnd.openxmlformats-officedocument.wordprocessingml.document.main+xml">
        <DigestMethod Algorithm="http://www.w3.org/2001/04/xmlenc#sha256"/>
        <DigestValue>u2Vch2iKObHsMVIjWYUopxW0A9abY2FzxL1Y1ibrnkk=</DigestValue>
      </Reference>
      <Reference URI="/word/endnotes.xml?ContentType=application/vnd.openxmlformats-officedocument.wordprocessingml.endnotes+xml">
        <DigestMethod Algorithm="http://www.w3.org/2001/04/xmlenc#sha256"/>
        <DigestValue>8Zh0XDo6CES52xODjiWbHCLEIQ7aMDoS8MM6oZvOyqs=</DigestValue>
      </Reference>
      <Reference URI="/word/fontTable.xml?ContentType=application/vnd.openxmlformats-officedocument.wordprocessingml.fontTable+xml">
        <DigestMethod Algorithm="http://www.w3.org/2001/04/xmlenc#sha256"/>
        <DigestValue>w5vIG7LNNqanKVKa+f8Po/pgwspMT+sB44TH5yGj750=</DigestValue>
      </Reference>
      <Reference URI="/word/footer1.xml?ContentType=application/vnd.openxmlformats-officedocument.wordprocessingml.footer+xml">
        <DigestMethod Algorithm="http://www.w3.org/2001/04/xmlenc#sha256"/>
        <DigestValue>3ROMcnG42HW0ARVLX6N8n9Lme9e1kGQIeR8hQuLx0fc=</DigestValue>
      </Reference>
      <Reference URI="/word/footer2.xml?ContentType=application/vnd.openxmlformats-officedocument.wordprocessingml.footer+xml">
        <DigestMethod Algorithm="http://www.w3.org/2001/04/xmlenc#sha256"/>
        <DigestValue>lVuS0+jGgPipox9fR38nTWH9ryBr3zRhAvniGkod1ew=</DigestValue>
      </Reference>
      <Reference URI="/word/footer3.xml?ContentType=application/vnd.openxmlformats-officedocument.wordprocessingml.footer+xml">
        <DigestMethod Algorithm="http://www.w3.org/2001/04/xmlenc#sha256"/>
        <DigestValue>oKlOGk8zDQthDyKNsPy0W2N86mpU06EZVfLhoCduhIs=</DigestValue>
      </Reference>
      <Reference URI="/word/footnotes.xml?ContentType=application/vnd.openxmlformats-officedocument.wordprocessingml.footnotes+xml">
        <DigestMethod Algorithm="http://www.w3.org/2001/04/xmlenc#sha256"/>
        <DigestValue>hKJmfr22001fs77VMuzpeSjEsXK4zfiuAbE1CLOlk9k=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Q68AvRmuIh/L/woQlntX9AGOQmD0U6e5e4RKGkQlVHE=</DigestValue>
      </Reference>
      <Reference URI="/word/glossary/fontTable.xml?ContentType=application/vnd.openxmlformats-officedocument.wordprocessingml.fontTable+xml">
        <DigestMethod Algorithm="http://www.w3.org/2001/04/xmlenc#sha256"/>
        <DigestValue>w5vIG7LNNqanKVKa+f8Po/pgwspMT+sB44TH5yGj750=</DigestValue>
      </Reference>
      <Reference URI="/word/glossary/settings.xml?ContentType=application/vnd.openxmlformats-officedocument.wordprocessingml.settings+xml">
        <DigestMethod Algorithm="http://www.w3.org/2001/04/xmlenc#sha256"/>
        <DigestValue>AdgrPqiS6gwRoxXJTXos1+BijZ9E74HsD4ZkoKdCbMA=</DigestValue>
      </Reference>
      <Reference URI="/word/glossary/styles.xml?ContentType=application/vnd.openxmlformats-officedocument.wordprocessingml.styles+xml">
        <DigestMethod Algorithm="http://www.w3.org/2001/04/xmlenc#sha256"/>
        <DigestValue>QKXfyh0X7z5bfygJuC9EdB4ZFsdqNgLFgmg1q9AwNEg=</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VU9goAztSMkCM73cvgun6qfv/JYWItzcsuO18yu8PRY=</DigestValue>
      </Reference>
      <Reference URI="/word/header2.xml?ContentType=application/vnd.openxmlformats-officedocument.wordprocessingml.header+xml">
        <DigestMethod Algorithm="http://www.w3.org/2001/04/xmlenc#sha256"/>
        <DigestValue>Ar5q8tJTIHTk8xdHbrfg3Ss9wl/NN54nm55Rf6VjOk0=</DigestValue>
      </Reference>
      <Reference URI="/word/header3.xml?ContentType=application/vnd.openxmlformats-officedocument.wordprocessingml.header+xml">
        <DigestMethod Algorithm="http://www.w3.org/2001/04/xmlenc#sha256"/>
        <DigestValue>M5n549bLbT98TwTrUaqqzt0aZy+ubrynXrdR/nAjTqk=</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9wBiF9nzoAtOZg/0RTOybsCbJYtl0AuHD0v8zg8BIUA=</DigestValue>
      </Reference>
      <Reference URI="/word/settings.xml?ContentType=application/vnd.openxmlformats-officedocument.wordprocessingml.settings+xml">
        <DigestMethod Algorithm="http://www.w3.org/2001/04/xmlenc#sha256"/>
        <DigestValue>1efGf7ZZbgMp3dhMUj+uQbI9zDt6tD1/MRBMXLe2Geg=</DigestValue>
      </Reference>
      <Reference URI="/word/styles.xml?ContentType=application/vnd.openxmlformats-officedocument.wordprocessingml.styles+xml">
        <DigestMethod Algorithm="http://www.w3.org/2001/04/xmlenc#sha256"/>
        <DigestValue>7pxlmCYvup6Inb6cr4GEeEHGz3kwLaJG3z0lirqA2Hk=</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HuonFlp/ZDLwnLxej+eMXmzf8gATOM0hdMQxY5JksQM=</DigestValue>
      </Reference>
    </Manifest>
    <SignatureProperties>
      <SignatureProperty Id="idSignatureTime" Target="#idPackageSignature">
        <mdssi:SignatureTime xmlns:mdssi="http://schemas.openxmlformats.org/package/2006/digital-signature">
          <mdssi:Format>YYYY-MM-DDThh:mm:ssTZD</mdssi:Format>
          <mdssi:Value>2021-01-12T04:40:28Z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2021-01-12T04:40:28Z</xd:SigningTime>
          <xd:SigningCertificate>
            <xd:Cert>
              <xd:CertDigest>
                <DigestMethod Algorithm="http://www.w3.org/2001/04/xmlenc#sha256"/>
                <DigestValue>gVdwtgFeNQUovnibP9bmcCXozNaI9wlMkNH6S8pZs+E=</DigestValue>
              </xd:CertDigest>
              <xd:IssuerSerial>
                <X509IssuerName>CN=CA SINPE - PERSONA FISICA v2, OU=DIVISION SISTEMAS DE PAGO, O=BANCO CENTRAL DE COSTA RICA, C=CR, SERIALNUMBER=CPJ-4-000-004017</X509IssuerName>
                <X509SerialNumber>446015367545680399737349422673286063246630081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E/PbZu860AoOCSIQgepgNkqmo5E3qfZNDxwgu54dQQ0CBAr8aVQYDzIwMjEwMTEyMDQ0MDM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</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</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DqxMv9COxjdKU+jhiUwHMGuf+k0=</xd:ByKey>
                  </xd:ResponderID>
                  <xd:ProducedAt>2021-01-11T15:19:26Z</xd:ProducedAt>
                </xd:OCSPIdentifier>
                <xd:DigestAlgAndValue>
                  <DigestMethod Algorithm="http://www.w3.org/2001/04/xmlenc#sha256"/>
                  <DigestValue>3XULYyXkjqt0L8VZc1W419GXzhrqlQ1g9ZySRaD13u0=</DigestValue>
                </xd:DigestAlgAndValue>
              </xd:OCSPRef>
            </xd:OCSPRefs>
            <xd:CRLRefs>
              <xd:CRLRef>
                <xd:DigestAlgAndValue>
                  <DigestMethod Algorithm="http://www.w3.org/2001/04/xmlenc#sha256"/>
                  <DigestValue>eScaBoLdLyb2GwoxjA5oPtWskDu7BUqbBnUIOCNLHfk=</DigestValue>
                </xd:DigestAlgAndValue>
                <xd:CRLIdentifier>
                  <xd:Issuer>CN=CA POLITICA PERSONA FISICA - COSTA RICA v2, OU=DCFD, O=MICITT, C=CR, SERIALNUMBER=CPJ-2-100-098311</xd:Issuer>
                  <xd:IssueTime>2020-12-04T20:23:45Z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OCSPValues>
              <xd:EncapsulatedOCSPValue>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</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xZ1ME11UNzXjltsj8JnqzEn+bqYSDtyJTvMWdl0E9CgCBAr8aVUYDzIwMjEwMTEyMDQ0MDM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183</Value>
      <Value>63</Value>
      <Value>109</Value>
      <Value>3</Value>
      <Value>2</Value>
      <Value>1</Value>
    </TaxCatchAll>
    <OtraEntidadExterna xmlns="b875e23b-67d9-4b2e-bdec-edacbf90b326">AL PÚBLICO EN GENERAL</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ESTADISTICAS Y PUBLICACIONES</DisplayName>
        <AccountId>705</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responde a ningún oficio</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Se envía a la Entrante de Administrativo para la publicación en el Diario Oficial La Gaceta.
Actualización multa según Artículo 7 de la Ley 1644
Copiar a saliente Estadísticas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2020-01-07T06:00:00+00:00</FechaDocumento>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Área Coordinación Administrativa</TermName>
          <TermId xmlns="http://schemas.microsoft.com/office/infopath/2007/PartnerControls">39ce7748-92aa-4572-8334-49785789cb1c</TermId>
        </TermInfo>
      </Term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Actualización multa según Artículo 7 de la Ley 1644</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1" ma:contentTypeDescription="Crear nuevo documento." ma:contentTypeScope="" ma:versionID="af3e14ab0e502236bf3e0eff81b46c00">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3efb005889daf2d59845bec2e219230"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965F9E39-3B3B-4A35-B734-B62E61AE533F}"/>
</file>

<file path=customXml/itemProps2.xml><?xml version="1.0" encoding="utf-8"?>
<ds:datastoreItem xmlns:ds="http://schemas.openxmlformats.org/officeDocument/2006/customXml" ds:itemID="{7E1A6AFB-C237-493F-B35B-A9C91BC6FE18}">
  <ds:schemaRefs>
    <ds:schemaRef ds:uri="http://schemas.openxmlformats.org/package/2006/metadata/core-properties"/>
    <ds:schemaRef ds:uri="b875e23b-67d9-4b2e-bdec-edacbf90b326"/>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8F05E38F-54F6-49D9-A369-815A9EB300A4}"/>
</file>

<file path=customXml/itemProps4.xml><?xml version="1.0" encoding="utf-8"?>
<ds:datastoreItem xmlns:ds="http://schemas.openxmlformats.org/officeDocument/2006/customXml" ds:itemID="{2B503F24-909C-48FC-99FB-A2DA5300E0F0}"/>
</file>

<file path=customXml/itemProps5.xml><?xml version="1.0" encoding="utf-8"?>
<ds:datastoreItem xmlns:ds="http://schemas.openxmlformats.org/officeDocument/2006/customXml" ds:itemID="{39B8385D-7BC7-46A0-B7FE-D488815D88BC}">
  <ds:schemaRefs>
    <ds:schemaRef ds:uri="Microsoft.SharePoint.Taxonomy.ContentTypeSync"/>
  </ds:schemaRefs>
</ds:datastoreItem>
</file>

<file path=customXml/itemProps6.xml><?xml version="1.0" encoding="utf-8"?>
<ds:datastoreItem xmlns:ds="http://schemas.openxmlformats.org/officeDocument/2006/customXml" ds:itemID="{55B8485F-1F01-4FD7-BFCA-42A38EAD49C2}"/>
</file>

<file path=docProps/app.xml><?xml version="1.0" encoding="utf-8"?>
<Properties xmlns="http://schemas.openxmlformats.org/officeDocument/2006/extended-properties" xmlns:vt="http://schemas.openxmlformats.org/officeDocument/2006/docPropsVTypes">
  <Template>plantillas-SGF-13.dotm</Template>
  <TotalTime>23</TotalTime>
  <Pages>1</Pages>
  <Words>306</Words>
  <Characters>1688</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OVARES MORA MONICA PAOLA</dc:creator>
  <cp:keywords/>
  <dc:description/>
  <cp:lastModifiedBy>VARGAS LEAL GABRIELA</cp:lastModifiedBy>
  <cp:revision>5</cp:revision>
  <dcterms:created xsi:type="dcterms:W3CDTF">2021-01-04T16:17:00Z</dcterms:created>
  <dcterms:modified xsi:type="dcterms:W3CDTF">2021-01-08T22:30:00Z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183;#Resolución|8250c29f-4595-4728-bcc1-a5fc6a20ed53</vt:lpwstr>
  </property>
  <property fmtid="{D5CDD505-2E9C-101B-9397-08002B2CF9AE}" pid="5" name="Unidad de Destino">
    <vt:lpwstr>109;#Área Coordinación Administrativa|39ce7748-92aa-4572-8334-49785789cb1c</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468200</vt:r8>
  </property>
  <property fmtid="{D5CDD505-2E9C-101B-9397-08002B2CF9AE}" pid="13" name="lb0b7da792b243d9bfa96ad7487ad734">
    <vt:lpwstr>Público|99c2402f-8ec3-4ca8-8024-be52e4e7f629</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dc9be4ca-c6c9-41a3-8f1b-604965ed1693,5;7dedacbb-5c77-4a35-8847-40abd1245d4d,7;</vt:lpwstr>
  </property>
</Properties>
</file>