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CFBBE" w14:textId="663F856A" w:rsidR="00350287" w:rsidRPr="00CA72A2" w:rsidRDefault="00765619" w:rsidP="00350287">
      <w:pPr>
        <w:pStyle w:val="Texto0"/>
        <w:spacing w:before="0" w:after="0" w:line="240" w:lineRule="auto"/>
        <w:rPr>
          <w:sz w:val="24"/>
        </w:rPr>
      </w:pPr>
      <w:r w:rsidRPr="00742CF0">
        <w:rPr>
          <w:b/>
          <w:sz w:val="24"/>
        </w:rPr>
        <w:t>SGF</w:t>
      </w:r>
      <w:r w:rsidR="00612C34" w:rsidRPr="00742CF0">
        <w:rPr>
          <w:b/>
          <w:sz w:val="24"/>
        </w:rPr>
        <w:t>-</w:t>
      </w:r>
      <w:bookmarkStart w:id="0" w:name="_GoBack"/>
      <w:r w:rsidR="00DE43B7" w:rsidRPr="00742CF0">
        <w:rPr>
          <w:b/>
          <w:sz w:val="24"/>
        </w:rPr>
        <w:t>R</w:t>
      </w:r>
      <w:r w:rsidR="00F1102D" w:rsidRPr="00742CF0">
        <w:rPr>
          <w:b/>
          <w:sz w:val="24"/>
        </w:rPr>
        <w:t>-</w:t>
      </w:r>
      <w:r w:rsidR="00C31E91">
        <w:rPr>
          <w:b/>
          <w:sz w:val="24"/>
        </w:rPr>
        <w:t>1812-2016</w:t>
      </w:r>
      <w:bookmarkEnd w:id="0"/>
      <w:r w:rsidR="00350287" w:rsidRPr="00742CF0">
        <w:rPr>
          <w:rFonts w:asciiTheme="majorHAnsi" w:hAnsiTheme="majorHAnsi"/>
          <w:b/>
          <w:sz w:val="24"/>
        </w:rPr>
        <w:t>.</w:t>
      </w:r>
      <w:r w:rsidR="00350287" w:rsidRPr="00CA72A2">
        <w:rPr>
          <w:rFonts w:asciiTheme="majorHAnsi" w:hAnsiTheme="majorHAnsi"/>
          <w:sz w:val="24"/>
        </w:rPr>
        <w:t xml:space="preserve"> Superintendencia General de Entidades Financieras. Despacho del Superintendente General de Entidades Financieras. Santa Ana, </w:t>
      </w:r>
      <w:r w:rsidR="00893FC1">
        <w:rPr>
          <w:sz w:val="24"/>
        </w:rPr>
        <w:t>del 0</w:t>
      </w:r>
      <w:r w:rsidR="00341EF2">
        <w:rPr>
          <w:sz w:val="24"/>
        </w:rPr>
        <w:t>6</w:t>
      </w:r>
      <w:r w:rsidR="00893FC1">
        <w:rPr>
          <w:sz w:val="24"/>
        </w:rPr>
        <w:t xml:space="preserve"> de junio del 2016</w:t>
      </w:r>
      <w:r w:rsidR="00350287" w:rsidRPr="00CA72A2">
        <w:rPr>
          <w:sz w:val="24"/>
        </w:rPr>
        <w:t>.</w:t>
      </w:r>
    </w:p>
    <w:p w14:paraId="431296D8" w14:textId="77777777" w:rsidR="00350287" w:rsidRPr="00CA72A2" w:rsidRDefault="00350287" w:rsidP="00350287">
      <w:pPr>
        <w:spacing w:line="240" w:lineRule="auto"/>
        <w:ind w:left="33"/>
        <w:rPr>
          <w:rFonts w:asciiTheme="majorHAnsi" w:hAnsiTheme="majorHAnsi"/>
          <w:b/>
          <w:sz w:val="24"/>
        </w:rPr>
      </w:pPr>
    </w:p>
    <w:p w14:paraId="3B31A8BF" w14:textId="77777777" w:rsidR="00350287" w:rsidRPr="00CA72A2" w:rsidRDefault="00350287" w:rsidP="00350287">
      <w:pPr>
        <w:spacing w:line="240" w:lineRule="auto"/>
        <w:ind w:left="33"/>
        <w:rPr>
          <w:rFonts w:asciiTheme="majorHAnsi" w:hAnsiTheme="majorHAnsi"/>
          <w:sz w:val="24"/>
        </w:rPr>
      </w:pPr>
      <w:r w:rsidRPr="00CA72A2">
        <w:rPr>
          <w:rFonts w:asciiTheme="majorHAnsi" w:hAnsiTheme="majorHAnsi"/>
          <w:sz w:val="24"/>
        </w:rPr>
        <w:t>El Superintendente General de Entidades Financieras,</w:t>
      </w:r>
    </w:p>
    <w:p w14:paraId="7B237DC7" w14:textId="77777777" w:rsidR="00350287" w:rsidRPr="00CA72A2" w:rsidRDefault="00350287" w:rsidP="00350287">
      <w:pPr>
        <w:spacing w:line="240" w:lineRule="auto"/>
        <w:ind w:left="33"/>
        <w:rPr>
          <w:rFonts w:asciiTheme="majorHAnsi" w:hAnsiTheme="majorHAnsi"/>
          <w:b/>
          <w:sz w:val="24"/>
        </w:rPr>
      </w:pPr>
    </w:p>
    <w:p w14:paraId="1B9D25B2" w14:textId="77777777" w:rsidR="00350287" w:rsidRPr="00CA72A2" w:rsidRDefault="00350287" w:rsidP="00350287">
      <w:pPr>
        <w:spacing w:line="240" w:lineRule="auto"/>
        <w:ind w:left="33"/>
        <w:rPr>
          <w:rFonts w:asciiTheme="majorHAnsi" w:hAnsiTheme="majorHAnsi"/>
          <w:sz w:val="24"/>
        </w:rPr>
      </w:pPr>
      <w:r w:rsidRPr="00CA72A2">
        <w:rPr>
          <w:rFonts w:asciiTheme="majorHAnsi" w:hAnsiTheme="majorHAnsi"/>
          <w:b/>
          <w:sz w:val="24"/>
        </w:rPr>
        <w:t>Considerando que</w:t>
      </w:r>
      <w:r w:rsidRPr="00CA72A2">
        <w:rPr>
          <w:rFonts w:asciiTheme="majorHAnsi" w:hAnsiTheme="majorHAnsi"/>
          <w:sz w:val="24"/>
        </w:rPr>
        <w:t>:</w:t>
      </w:r>
    </w:p>
    <w:p w14:paraId="76BBCE70" w14:textId="77777777" w:rsidR="00350287" w:rsidRPr="00CA72A2" w:rsidRDefault="00350287" w:rsidP="00350287">
      <w:pPr>
        <w:spacing w:line="240" w:lineRule="auto"/>
        <w:ind w:left="33"/>
        <w:rPr>
          <w:rFonts w:asciiTheme="majorHAnsi" w:hAnsiTheme="majorHAnsi"/>
          <w:b/>
          <w:sz w:val="24"/>
        </w:rPr>
      </w:pPr>
    </w:p>
    <w:p w14:paraId="1DEBA868" w14:textId="77777777" w:rsidR="00350287" w:rsidRPr="00CA72A2" w:rsidRDefault="00350287" w:rsidP="00350287">
      <w:pPr>
        <w:pStyle w:val="Prrafodelista"/>
        <w:numPr>
          <w:ilvl w:val="0"/>
          <w:numId w:val="15"/>
        </w:numPr>
        <w:spacing w:after="0" w:line="240" w:lineRule="auto"/>
        <w:ind w:left="33" w:firstLine="0"/>
        <w:jc w:val="both"/>
        <w:rPr>
          <w:rFonts w:asciiTheme="majorHAnsi" w:hAnsiTheme="majorHAnsi"/>
          <w:sz w:val="24"/>
          <w:szCs w:val="24"/>
        </w:rPr>
      </w:pPr>
      <w:r w:rsidRPr="00CA72A2">
        <w:rPr>
          <w:rFonts w:asciiTheme="majorHAnsi" w:hAnsiTheme="majorHAnsi"/>
          <w:sz w:val="24"/>
          <w:szCs w:val="24"/>
        </w:rPr>
        <w:t>Mediante artículo 5 del acta de la sesión 1242-2016, del 5 de abril del 2016, el Consejo Nacional de Supervisión del Sistema Financiero aprobó el Acuerdo SUGEF 18-16 “Reglamento sobre Gestión del Riesgo Operativo”.</w:t>
      </w:r>
    </w:p>
    <w:p w14:paraId="74A87239" w14:textId="77777777" w:rsidR="00350287" w:rsidRPr="00CA72A2" w:rsidRDefault="00350287" w:rsidP="00350287">
      <w:pPr>
        <w:pStyle w:val="Prrafodelista"/>
        <w:spacing w:after="0" w:line="240" w:lineRule="auto"/>
        <w:ind w:left="33"/>
        <w:jc w:val="both"/>
        <w:rPr>
          <w:rFonts w:asciiTheme="majorHAnsi" w:hAnsiTheme="majorHAnsi"/>
          <w:sz w:val="24"/>
          <w:szCs w:val="24"/>
        </w:rPr>
      </w:pPr>
    </w:p>
    <w:p w14:paraId="7D32E9BE" w14:textId="77777777" w:rsidR="00350287" w:rsidRPr="00CA72A2" w:rsidRDefault="00350287" w:rsidP="00350287">
      <w:pPr>
        <w:pStyle w:val="Prrafodelista"/>
        <w:numPr>
          <w:ilvl w:val="0"/>
          <w:numId w:val="15"/>
        </w:numPr>
        <w:spacing w:after="0" w:line="240" w:lineRule="auto"/>
        <w:ind w:left="33" w:firstLine="0"/>
        <w:jc w:val="both"/>
        <w:rPr>
          <w:rFonts w:asciiTheme="majorHAnsi" w:hAnsiTheme="majorHAnsi"/>
          <w:sz w:val="24"/>
          <w:szCs w:val="24"/>
        </w:rPr>
      </w:pPr>
      <w:r w:rsidRPr="00CA72A2">
        <w:rPr>
          <w:rFonts w:asciiTheme="majorHAnsi" w:hAnsiTheme="majorHAnsi"/>
          <w:sz w:val="24"/>
          <w:szCs w:val="24"/>
        </w:rPr>
        <w:t>Los artículos 8, 13 y 14 del citado reglamento requieren la emisión de lineamientos respecto a líneas de negocio y las categorías de eventos de riesgo operativo; sobre los requerimientos mínimos a la autenticación de clientes y autorización de transacciones en los medios y dispositivos de los canales electrónicos utilizados en la prestación de servicios financieros (en particular en ambientes de banca en línea); y la información de la base de datos de eventos de riesgo operativo y de la base de datos para eventos de riesgos potenciales;</w:t>
      </w:r>
      <w:r w:rsidRPr="00CA72A2">
        <w:rPr>
          <w:rFonts w:asciiTheme="majorHAnsi" w:eastAsia="Times New Roman" w:hAnsiTheme="majorHAnsi"/>
          <w:sz w:val="24"/>
          <w:szCs w:val="24"/>
        </w:rPr>
        <w:t xml:space="preserve"> </w:t>
      </w:r>
      <w:r w:rsidRPr="00CA72A2">
        <w:rPr>
          <w:rFonts w:asciiTheme="majorHAnsi" w:hAnsiTheme="majorHAnsi"/>
          <w:sz w:val="24"/>
          <w:szCs w:val="24"/>
        </w:rPr>
        <w:t>por lo que se hace necesario emitir dichos  lineamientos generales.</w:t>
      </w:r>
    </w:p>
    <w:p w14:paraId="253E13BD" w14:textId="77777777" w:rsidR="00350287" w:rsidRPr="00CA72A2" w:rsidRDefault="00350287" w:rsidP="00350287">
      <w:pPr>
        <w:spacing w:line="240" w:lineRule="auto"/>
        <w:rPr>
          <w:rFonts w:asciiTheme="majorHAnsi" w:hAnsiTheme="majorHAnsi"/>
          <w:sz w:val="24"/>
        </w:rPr>
      </w:pPr>
    </w:p>
    <w:p w14:paraId="5987FAEC" w14:textId="77777777" w:rsidR="00350287" w:rsidRPr="00CA72A2" w:rsidRDefault="00350287" w:rsidP="00350287">
      <w:pPr>
        <w:pStyle w:val="Prrafodelista"/>
        <w:numPr>
          <w:ilvl w:val="0"/>
          <w:numId w:val="15"/>
        </w:numPr>
        <w:spacing w:after="0" w:line="240" w:lineRule="auto"/>
        <w:ind w:left="33" w:firstLine="0"/>
        <w:jc w:val="both"/>
        <w:rPr>
          <w:rFonts w:asciiTheme="majorHAnsi" w:hAnsiTheme="majorHAnsi"/>
          <w:sz w:val="24"/>
          <w:szCs w:val="24"/>
        </w:rPr>
      </w:pPr>
      <w:r w:rsidRPr="00CA72A2">
        <w:rPr>
          <w:rFonts w:asciiTheme="majorHAnsi" w:hAnsiTheme="majorHAnsi"/>
          <w:sz w:val="24"/>
          <w:szCs w:val="24"/>
        </w:rPr>
        <w:t xml:space="preserve">El Artículo 131, inciso b) de la Ley Orgánica del Banco Central de Costa Rica, Ley número 7558, establece que corresponde al Superintendente tomar las medidas necesarias para ejecutar los acuerdos del Consejo Nacional de Supervisión. </w:t>
      </w:r>
    </w:p>
    <w:p w14:paraId="50B21197" w14:textId="77777777" w:rsidR="00350287" w:rsidRPr="00CA72A2" w:rsidRDefault="00350287" w:rsidP="00350287">
      <w:pPr>
        <w:spacing w:line="240" w:lineRule="auto"/>
        <w:rPr>
          <w:rFonts w:asciiTheme="majorHAnsi" w:hAnsiTheme="majorHAnsi"/>
          <w:sz w:val="24"/>
          <w:lang w:val="es-CR"/>
        </w:rPr>
      </w:pPr>
    </w:p>
    <w:p w14:paraId="5A59B03C" w14:textId="77777777" w:rsidR="00350287" w:rsidRPr="00CA72A2" w:rsidRDefault="00350287" w:rsidP="00350287">
      <w:pPr>
        <w:spacing w:line="240" w:lineRule="auto"/>
        <w:rPr>
          <w:rFonts w:asciiTheme="majorHAnsi" w:hAnsiTheme="majorHAnsi"/>
          <w:sz w:val="24"/>
        </w:rPr>
      </w:pPr>
    </w:p>
    <w:p w14:paraId="3DCADA98" w14:textId="77777777" w:rsidR="00350287" w:rsidRDefault="00350287" w:rsidP="00350287">
      <w:pPr>
        <w:spacing w:line="240" w:lineRule="auto"/>
        <w:ind w:left="33"/>
        <w:rPr>
          <w:rFonts w:asciiTheme="majorHAnsi" w:hAnsiTheme="majorHAnsi"/>
          <w:sz w:val="24"/>
        </w:rPr>
      </w:pPr>
      <w:r w:rsidRPr="00CA72A2">
        <w:rPr>
          <w:rFonts w:asciiTheme="majorHAnsi" w:hAnsiTheme="majorHAnsi"/>
          <w:b/>
          <w:sz w:val="24"/>
        </w:rPr>
        <w:t>Dispone</w:t>
      </w:r>
      <w:r w:rsidRPr="00CA72A2">
        <w:rPr>
          <w:rFonts w:asciiTheme="majorHAnsi" w:hAnsiTheme="majorHAnsi"/>
          <w:sz w:val="24"/>
        </w:rPr>
        <w:t>:</w:t>
      </w:r>
    </w:p>
    <w:p w14:paraId="3B8BB3AD" w14:textId="48A316F8" w:rsidR="0024063E" w:rsidRDefault="0024063E" w:rsidP="00350287">
      <w:pPr>
        <w:spacing w:line="240" w:lineRule="auto"/>
        <w:ind w:left="33"/>
        <w:rPr>
          <w:rFonts w:asciiTheme="majorHAnsi" w:hAnsiTheme="majorHAnsi"/>
          <w:b/>
          <w:sz w:val="24"/>
        </w:rPr>
      </w:pPr>
    </w:p>
    <w:p w14:paraId="50041B96" w14:textId="0809326F" w:rsidR="0024063E" w:rsidRPr="009D0353" w:rsidRDefault="0024063E" w:rsidP="009D0353">
      <w:pPr>
        <w:pStyle w:val="Prrafodelista"/>
        <w:numPr>
          <w:ilvl w:val="0"/>
          <w:numId w:val="22"/>
        </w:numPr>
        <w:spacing w:line="240" w:lineRule="auto"/>
        <w:ind w:left="393"/>
        <w:rPr>
          <w:rFonts w:asciiTheme="majorHAnsi" w:hAnsiTheme="majorHAnsi"/>
          <w:sz w:val="24"/>
        </w:rPr>
      </w:pPr>
      <w:r w:rsidRPr="009D0353">
        <w:rPr>
          <w:rFonts w:asciiTheme="majorHAnsi" w:hAnsiTheme="majorHAnsi"/>
          <w:sz w:val="24"/>
        </w:rPr>
        <w:t>Dejar sin efecto el SGF-15</w:t>
      </w:r>
      <w:r w:rsidR="006B1C60">
        <w:rPr>
          <w:rFonts w:asciiTheme="majorHAnsi" w:hAnsiTheme="majorHAnsi"/>
          <w:sz w:val="24"/>
        </w:rPr>
        <w:t>57</w:t>
      </w:r>
      <w:r w:rsidRPr="009D0353">
        <w:rPr>
          <w:rFonts w:asciiTheme="majorHAnsi" w:hAnsiTheme="majorHAnsi"/>
          <w:sz w:val="24"/>
        </w:rPr>
        <w:t xml:space="preserve">-2016, del </w:t>
      </w:r>
      <w:r w:rsidR="009D0353" w:rsidRPr="009D0353">
        <w:rPr>
          <w:rFonts w:asciiTheme="majorHAnsi" w:hAnsiTheme="majorHAnsi"/>
          <w:sz w:val="24"/>
        </w:rPr>
        <w:t>11 de mayo del 2016.</w:t>
      </w:r>
    </w:p>
    <w:p w14:paraId="2A30C92B" w14:textId="77777777" w:rsidR="00350287" w:rsidRPr="0024063E" w:rsidRDefault="00350287" w:rsidP="009D0353">
      <w:pPr>
        <w:spacing w:line="240" w:lineRule="auto"/>
        <w:rPr>
          <w:rFonts w:asciiTheme="majorHAnsi" w:hAnsiTheme="majorHAnsi"/>
          <w:sz w:val="24"/>
        </w:rPr>
      </w:pPr>
    </w:p>
    <w:p w14:paraId="2CA24932" w14:textId="77777777" w:rsidR="00350287" w:rsidRPr="009D0353" w:rsidRDefault="00350287" w:rsidP="009D0353">
      <w:pPr>
        <w:pStyle w:val="Prrafodelista"/>
        <w:numPr>
          <w:ilvl w:val="0"/>
          <w:numId w:val="22"/>
        </w:numPr>
        <w:spacing w:line="240" w:lineRule="auto"/>
        <w:ind w:left="393"/>
        <w:rPr>
          <w:rFonts w:asciiTheme="majorHAnsi" w:hAnsiTheme="majorHAnsi"/>
          <w:sz w:val="24"/>
        </w:rPr>
      </w:pPr>
      <w:r w:rsidRPr="009D0353">
        <w:rPr>
          <w:rFonts w:asciiTheme="majorHAnsi" w:hAnsiTheme="majorHAnsi"/>
          <w:sz w:val="24"/>
        </w:rPr>
        <w:t>Emitir los "Lineamientos Generales” del Acuerdo SUGEF 18-16 “Reglamento sobre Gestión del Riesgo Operativo” de conformidad con el siguiente texto:</w:t>
      </w:r>
    </w:p>
    <w:p w14:paraId="68DEBD15" w14:textId="77777777" w:rsidR="00350287" w:rsidRPr="00CA72A2" w:rsidRDefault="00350287" w:rsidP="00350287">
      <w:pPr>
        <w:spacing w:line="240" w:lineRule="auto"/>
        <w:ind w:left="33"/>
        <w:rPr>
          <w:rFonts w:asciiTheme="majorHAnsi" w:hAnsiTheme="majorHAnsi"/>
          <w:sz w:val="24"/>
        </w:rPr>
      </w:pPr>
    </w:p>
    <w:p w14:paraId="4408B821" w14:textId="77777777" w:rsidR="00350287" w:rsidRPr="00CA72A2" w:rsidRDefault="00350287" w:rsidP="00350287">
      <w:pPr>
        <w:spacing w:line="240" w:lineRule="auto"/>
        <w:ind w:left="33"/>
        <w:rPr>
          <w:rFonts w:asciiTheme="majorHAnsi" w:hAnsiTheme="majorHAnsi"/>
          <w:sz w:val="24"/>
        </w:rPr>
      </w:pPr>
    </w:p>
    <w:p w14:paraId="1D8C9A3D" w14:textId="77777777" w:rsidR="00350287" w:rsidRPr="00CA72A2" w:rsidRDefault="00350287" w:rsidP="00350287">
      <w:pPr>
        <w:widowControl w:val="0"/>
        <w:tabs>
          <w:tab w:val="left" w:pos="142"/>
        </w:tabs>
        <w:spacing w:line="240" w:lineRule="auto"/>
        <w:ind w:left="33"/>
        <w:jc w:val="center"/>
        <w:rPr>
          <w:rFonts w:asciiTheme="majorHAnsi" w:hAnsiTheme="majorHAnsi"/>
          <w:b/>
          <w:sz w:val="24"/>
        </w:rPr>
      </w:pPr>
      <w:r w:rsidRPr="00CA72A2">
        <w:rPr>
          <w:rFonts w:asciiTheme="majorHAnsi" w:hAnsiTheme="majorHAnsi"/>
          <w:b/>
          <w:sz w:val="24"/>
        </w:rPr>
        <w:t>LINEAMIENTOS GENERALES DEL ACUERDO SUGEF 18-16</w:t>
      </w:r>
    </w:p>
    <w:p w14:paraId="3605DE3E" w14:textId="77777777" w:rsidR="00350287" w:rsidRPr="00CA72A2" w:rsidRDefault="00350287" w:rsidP="00350287">
      <w:pPr>
        <w:widowControl w:val="0"/>
        <w:tabs>
          <w:tab w:val="left" w:pos="142"/>
        </w:tabs>
        <w:spacing w:line="240" w:lineRule="auto"/>
        <w:ind w:left="33"/>
        <w:jc w:val="center"/>
        <w:rPr>
          <w:rFonts w:asciiTheme="majorHAnsi" w:hAnsiTheme="majorHAnsi"/>
          <w:b/>
          <w:sz w:val="24"/>
        </w:rPr>
      </w:pPr>
      <w:r w:rsidRPr="00CA72A2">
        <w:rPr>
          <w:rFonts w:asciiTheme="majorHAnsi" w:hAnsiTheme="majorHAnsi"/>
          <w:b/>
          <w:sz w:val="24"/>
        </w:rPr>
        <w:t>REGLAMENTO SOBRE GESTIÓN DEL RIESGO OPERATIVO</w:t>
      </w:r>
    </w:p>
    <w:p w14:paraId="1A2BC053" w14:textId="77777777" w:rsidR="00350287" w:rsidRPr="00CA72A2" w:rsidRDefault="00350287" w:rsidP="00350287">
      <w:pPr>
        <w:spacing w:line="240" w:lineRule="auto"/>
        <w:ind w:left="33"/>
        <w:rPr>
          <w:rFonts w:asciiTheme="majorHAnsi" w:hAnsiTheme="majorHAnsi"/>
          <w:b/>
          <w:sz w:val="24"/>
        </w:rPr>
      </w:pPr>
    </w:p>
    <w:p w14:paraId="1B7DF4CA" w14:textId="77777777" w:rsidR="00350287" w:rsidRPr="00CA72A2" w:rsidRDefault="00350287" w:rsidP="00350287">
      <w:pPr>
        <w:spacing w:line="240" w:lineRule="auto"/>
        <w:ind w:left="33"/>
        <w:rPr>
          <w:rFonts w:asciiTheme="majorHAnsi" w:hAnsiTheme="majorHAnsi"/>
          <w:b/>
          <w:sz w:val="24"/>
        </w:rPr>
      </w:pPr>
    </w:p>
    <w:p w14:paraId="4A24AB8B" w14:textId="77777777" w:rsidR="00350287" w:rsidRPr="00CA72A2" w:rsidRDefault="00350287" w:rsidP="00350287">
      <w:pPr>
        <w:spacing w:line="240" w:lineRule="auto"/>
        <w:ind w:left="33"/>
        <w:rPr>
          <w:rFonts w:asciiTheme="majorHAnsi" w:hAnsiTheme="majorHAnsi"/>
          <w:sz w:val="24"/>
        </w:rPr>
      </w:pPr>
      <w:r w:rsidRPr="00CA72A2">
        <w:rPr>
          <w:rFonts w:asciiTheme="majorHAnsi" w:hAnsiTheme="majorHAnsi"/>
          <w:b/>
          <w:sz w:val="24"/>
        </w:rPr>
        <w:t>Objetivo general</w:t>
      </w:r>
      <w:r w:rsidRPr="00CA72A2">
        <w:rPr>
          <w:rFonts w:asciiTheme="majorHAnsi" w:hAnsiTheme="majorHAnsi"/>
          <w:sz w:val="24"/>
        </w:rPr>
        <w:t xml:space="preserve">: Suministrar las guías necesarias que permitan a la entidad observar lo dispuesto por el Acuerdo SUGEF 18-16. </w:t>
      </w:r>
    </w:p>
    <w:p w14:paraId="7BD5DC3E" w14:textId="77777777" w:rsidR="00350287" w:rsidRPr="00CA72A2" w:rsidRDefault="00350287" w:rsidP="00350287">
      <w:pPr>
        <w:spacing w:line="240" w:lineRule="auto"/>
        <w:ind w:left="33"/>
        <w:rPr>
          <w:rFonts w:asciiTheme="majorHAnsi" w:hAnsiTheme="majorHAnsi"/>
          <w:b/>
          <w:sz w:val="24"/>
        </w:rPr>
      </w:pPr>
    </w:p>
    <w:p w14:paraId="566F342D" w14:textId="77777777" w:rsidR="00350287" w:rsidRPr="00CA72A2" w:rsidRDefault="00350287" w:rsidP="00350287">
      <w:pPr>
        <w:pStyle w:val="Prrafodelista"/>
        <w:widowControl w:val="0"/>
        <w:numPr>
          <w:ilvl w:val="0"/>
          <w:numId w:val="18"/>
        </w:numPr>
        <w:spacing w:after="0" w:line="240" w:lineRule="auto"/>
        <w:ind w:left="33" w:firstLine="0"/>
        <w:jc w:val="both"/>
        <w:rPr>
          <w:rFonts w:asciiTheme="majorHAnsi" w:hAnsiTheme="majorHAnsi"/>
          <w:b/>
          <w:sz w:val="24"/>
          <w:szCs w:val="24"/>
        </w:rPr>
      </w:pPr>
      <w:r w:rsidRPr="00CA72A2">
        <w:rPr>
          <w:rFonts w:asciiTheme="majorHAnsi" w:hAnsiTheme="majorHAnsi"/>
          <w:b/>
          <w:sz w:val="24"/>
          <w:szCs w:val="24"/>
        </w:rPr>
        <w:t>LÍNEAS DE NEGOCIO GENÉRICAS PARA INTERMEDIARIOS FINANCIEROS DEL SISTEMA FINANCIERO NACIONAL</w:t>
      </w:r>
      <w:r w:rsidRPr="00CA72A2">
        <w:rPr>
          <w:rFonts w:asciiTheme="majorHAnsi" w:hAnsiTheme="majorHAnsi"/>
          <w:sz w:val="24"/>
          <w:szCs w:val="24"/>
        </w:rPr>
        <w:t>.</w:t>
      </w:r>
    </w:p>
    <w:p w14:paraId="033193B8" w14:textId="77777777" w:rsidR="00350287" w:rsidRPr="00CA72A2" w:rsidRDefault="00350287" w:rsidP="00350287">
      <w:pPr>
        <w:widowControl w:val="0"/>
        <w:tabs>
          <w:tab w:val="left" w:pos="142"/>
        </w:tabs>
        <w:spacing w:line="240" w:lineRule="auto"/>
        <w:ind w:left="33"/>
        <w:rPr>
          <w:rFonts w:asciiTheme="majorHAnsi" w:hAnsiTheme="majorHAnsi"/>
          <w:sz w:val="24"/>
        </w:rPr>
      </w:pPr>
    </w:p>
    <w:p w14:paraId="1FFCA681" w14:textId="77777777" w:rsidR="00350287" w:rsidRPr="00CA72A2" w:rsidRDefault="00350287" w:rsidP="00350287">
      <w:pPr>
        <w:widowControl w:val="0"/>
        <w:tabs>
          <w:tab w:val="left" w:pos="142"/>
        </w:tabs>
        <w:spacing w:line="240" w:lineRule="auto"/>
        <w:ind w:left="33"/>
        <w:rPr>
          <w:rFonts w:asciiTheme="majorHAnsi" w:hAnsiTheme="majorHAnsi"/>
          <w:sz w:val="24"/>
        </w:rPr>
      </w:pPr>
      <w:r w:rsidRPr="00CA72A2">
        <w:rPr>
          <w:rFonts w:asciiTheme="majorHAnsi" w:hAnsiTheme="majorHAnsi"/>
          <w:sz w:val="24"/>
        </w:rPr>
        <w:t xml:space="preserve">Las líneas de negocio que de seguido se presentan son de carácter orientativo. </w:t>
      </w:r>
    </w:p>
    <w:p w14:paraId="3A8C603C" w14:textId="77777777" w:rsidR="00350287" w:rsidRPr="00CA72A2" w:rsidRDefault="00350287" w:rsidP="00350287">
      <w:pPr>
        <w:spacing w:line="240" w:lineRule="auto"/>
        <w:ind w:left="33"/>
        <w:jc w:val="center"/>
        <w:rPr>
          <w:rFonts w:asciiTheme="majorHAnsi" w:hAnsiTheme="majorHAnsi"/>
          <w:b/>
          <w:sz w:val="24"/>
        </w:rPr>
      </w:pPr>
    </w:p>
    <w:p w14:paraId="36549F36" w14:textId="2B025E31" w:rsidR="00350287" w:rsidRPr="00CA72A2" w:rsidRDefault="00350287" w:rsidP="00350287">
      <w:pPr>
        <w:spacing w:line="240" w:lineRule="auto"/>
        <w:rPr>
          <w:rFonts w:asciiTheme="majorHAnsi" w:hAnsiTheme="majorHAnsi"/>
          <w:sz w:val="24"/>
        </w:rPr>
      </w:pPr>
    </w:p>
    <w:tbl>
      <w:tblPr>
        <w:tblStyle w:val="Cuadrculadetablaclara"/>
        <w:tblW w:w="8500" w:type="dxa"/>
        <w:tblLayout w:type="fixed"/>
        <w:tblLook w:val="04A0" w:firstRow="1" w:lastRow="0" w:firstColumn="1" w:lastColumn="0" w:noHBand="0" w:noVBand="1"/>
      </w:tblPr>
      <w:tblGrid>
        <w:gridCol w:w="988"/>
        <w:gridCol w:w="1701"/>
        <w:gridCol w:w="2409"/>
        <w:gridCol w:w="3402"/>
      </w:tblGrid>
      <w:tr w:rsidR="00350287" w:rsidRPr="00CA72A2" w14:paraId="62367768" w14:textId="77777777" w:rsidTr="00E237BE">
        <w:tc>
          <w:tcPr>
            <w:tcW w:w="988" w:type="dxa"/>
          </w:tcPr>
          <w:p w14:paraId="676CA40B" w14:textId="77777777" w:rsidR="00350287" w:rsidRPr="00CA72A2" w:rsidRDefault="00350287" w:rsidP="0024063E">
            <w:pPr>
              <w:spacing w:line="240" w:lineRule="auto"/>
              <w:ind w:left="33"/>
              <w:jc w:val="center"/>
              <w:rPr>
                <w:rFonts w:asciiTheme="majorHAnsi" w:hAnsiTheme="majorHAnsi"/>
                <w:b/>
                <w:sz w:val="24"/>
              </w:rPr>
            </w:pPr>
            <w:r w:rsidRPr="00CA72A2">
              <w:rPr>
                <w:rFonts w:asciiTheme="majorHAnsi" w:hAnsiTheme="majorHAnsi"/>
                <w:b/>
                <w:sz w:val="24"/>
              </w:rPr>
              <w:t>Línea</w:t>
            </w:r>
          </w:p>
        </w:tc>
        <w:tc>
          <w:tcPr>
            <w:tcW w:w="1701" w:type="dxa"/>
          </w:tcPr>
          <w:p w14:paraId="4DDE3A7F" w14:textId="77777777" w:rsidR="00350287" w:rsidRPr="00CA72A2" w:rsidRDefault="00350287" w:rsidP="0024063E">
            <w:pPr>
              <w:spacing w:line="240" w:lineRule="auto"/>
              <w:ind w:left="33"/>
              <w:jc w:val="center"/>
              <w:rPr>
                <w:rFonts w:asciiTheme="majorHAnsi" w:hAnsiTheme="majorHAnsi"/>
                <w:b/>
                <w:sz w:val="24"/>
              </w:rPr>
            </w:pPr>
            <w:r w:rsidRPr="00CA72A2">
              <w:rPr>
                <w:rFonts w:asciiTheme="majorHAnsi" w:hAnsiTheme="majorHAnsi"/>
                <w:b/>
                <w:sz w:val="24"/>
              </w:rPr>
              <w:t>Nivel 1</w:t>
            </w:r>
          </w:p>
        </w:tc>
        <w:tc>
          <w:tcPr>
            <w:tcW w:w="2409" w:type="dxa"/>
          </w:tcPr>
          <w:p w14:paraId="617707AE" w14:textId="77777777" w:rsidR="00350287" w:rsidRPr="00CA72A2" w:rsidRDefault="00350287" w:rsidP="0024063E">
            <w:pPr>
              <w:spacing w:line="240" w:lineRule="auto"/>
              <w:ind w:left="33"/>
              <w:jc w:val="center"/>
              <w:rPr>
                <w:rFonts w:asciiTheme="majorHAnsi" w:hAnsiTheme="majorHAnsi"/>
                <w:b/>
                <w:sz w:val="24"/>
              </w:rPr>
            </w:pPr>
            <w:r w:rsidRPr="00CA72A2">
              <w:rPr>
                <w:rFonts w:asciiTheme="majorHAnsi" w:hAnsiTheme="majorHAnsi"/>
                <w:b/>
                <w:sz w:val="24"/>
              </w:rPr>
              <w:t>Nivel 2</w:t>
            </w:r>
          </w:p>
        </w:tc>
        <w:tc>
          <w:tcPr>
            <w:tcW w:w="3402" w:type="dxa"/>
          </w:tcPr>
          <w:p w14:paraId="2E6E8D7B" w14:textId="77777777" w:rsidR="00350287" w:rsidRPr="00CA72A2" w:rsidRDefault="00350287" w:rsidP="0024063E">
            <w:pPr>
              <w:spacing w:line="240" w:lineRule="auto"/>
              <w:ind w:left="33"/>
              <w:jc w:val="center"/>
              <w:rPr>
                <w:rFonts w:asciiTheme="majorHAnsi" w:hAnsiTheme="majorHAnsi"/>
                <w:b/>
                <w:sz w:val="24"/>
              </w:rPr>
            </w:pPr>
            <w:r w:rsidRPr="00CA72A2">
              <w:rPr>
                <w:rFonts w:asciiTheme="majorHAnsi" w:hAnsiTheme="majorHAnsi"/>
                <w:b/>
                <w:sz w:val="24"/>
              </w:rPr>
              <w:t>Grupo de actividades</w:t>
            </w:r>
          </w:p>
        </w:tc>
      </w:tr>
      <w:tr w:rsidR="00350287" w:rsidRPr="00CA72A2" w14:paraId="3216FDB1" w14:textId="77777777" w:rsidTr="00E237BE">
        <w:tc>
          <w:tcPr>
            <w:tcW w:w="988" w:type="dxa"/>
            <w:vMerge w:val="restart"/>
          </w:tcPr>
          <w:p w14:paraId="5E8FB4CF" w14:textId="77777777" w:rsidR="00350287" w:rsidRPr="00CA72A2" w:rsidRDefault="00350287" w:rsidP="0024063E">
            <w:pPr>
              <w:spacing w:line="240" w:lineRule="auto"/>
              <w:ind w:left="33"/>
              <w:jc w:val="center"/>
              <w:rPr>
                <w:rFonts w:asciiTheme="majorHAnsi" w:hAnsiTheme="majorHAnsi"/>
                <w:sz w:val="24"/>
              </w:rPr>
            </w:pPr>
            <w:r w:rsidRPr="00CA72A2">
              <w:rPr>
                <w:rFonts w:asciiTheme="majorHAnsi" w:hAnsiTheme="majorHAnsi"/>
                <w:sz w:val="24"/>
              </w:rPr>
              <w:lastRenderedPageBreak/>
              <w:t>1</w:t>
            </w:r>
          </w:p>
        </w:tc>
        <w:tc>
          <w:tcPr>
            <w:tcW w:w="1701" w:type="dxa"/>
            <w:vMerge w:val="restart"/>
          </w:tcPr>
          <w:p w14:paraId="4A1855D8" w14:textId="77777777" w:rsidR="00350287" w:rsidRPr="00CA72A2" w:rsidRDefault="00350287" w:rsidP="0024063E">
            <w:pPr>
              <w:spacing w:line="240" w:lineRule="auto"/>
              <w:ind w:left="33"/>
              <w:jc w:val="center"/>
              <w:rPr>
                <w:rFonts w:asciiTheme="majorHAnsi" w:hAnsiTheme="majorHAnsi"/>
                <w:sz w:val="24"/>
              </w:rPr>
            </w:pPr>
            <w:r w:rsidRPr="00CA72A2">
              <w:rPr>
                <w:rFonts w:asciiTheme="majorHAnsi" w:hAnsiTheme="majorHAnsi"/>
                <w:b/>
                <w:bCs/>
                <w:sz w:val="24"/>
              </w:rPr>
              <w:t>Finanzas corporativas</w:t>
            </w:r>
          </w:p>
        </w:tc>
        <w:tc>
          <w:tcPr>
            <w:tcW w:w="2409" w:type="dxa"/>
          </w:tcPr>
          <w:p w14:paraId="22A227D9" w14:textId="77777777" w:rsidR="00350287" w:rsidRPr="00CA72A2" w:rsidRDefault="00350287" w:rsidP="006168C9">
            <w:pPr>
              <w:autoSpaceDE w:val="0"/>
              <w:autoSpaceDN w:val="0"/>
              <w:adjustRightInd w:val="0"/>
              <w:spacing w:line="240" w:lineRule="auto"/>
              <w:ind w:left="33"/>
              <w:jc w:val="left"/>
              <w:rPr>
                <w:rFonts w:asciiTheme="majorHAnsi" w:hAnsiTheme="majorHAnsi"/>
                <w:sz w:val="24"/>
              </w:rPr>
            </w:pPr>
            <w:r w:rsidRPr="00CA72A2">
              <w:rPr>
                <w:rFonts w:asciiTheme="majorHAnsi" w:hAnsiTheme="majorHAnsi"/>
                <w:sz w:val="24"/>
              </w:rPr>
              <w:t>1.1 Finanzas corporativas</w:t>
            </w:r>
          </w:p>
        </w:tc>
        <w:tc>
          <w:tcPr>
            <w:tcW w:w="3402" w:type="dxa"/>
          </w:tcPr>
          <w:p w14:paraId="41DF6448" w14:textId="77777777" w:rsidR="00350287" w:rsidRPr="00CA72A2" w:rsidRDefault="00350287" w:rsidP="0024063E">
            <w:pPr>
              <w:autoSpaceDE w:val="0"/>
              <w:autoSpaceDN w:val="0"/>
              <w:adjustRightInd w:val="0"/>
              <w:spacing w:line="240" w:lineRule="auto"/>
              <w:ind w:left="33"/>
              <w:rPr>
                <w:rFonts w:asciiTheme="majorHAnsi" w:hAnsiTheme="majorHAnsi"/>
                <w:color w:val="000000" w:themeColor="background1"/>
                <w:sz w:val="24"/>
              </w:rPr>
            </w:pPr>
            <w:r w:rsidRPr="00CA72A2">
              <w:rPr>
                <w:rFonts w:asciiTheme="majorHAnsi" w:hAnsiTheme="majorHAnsi"/>
                <w:sz w:val="24"/>
              </w:rPr>
              <w:t xml:space="preserve">Fusiones y adquisiciones, suscripción y colocación de </w:t>
            </w:r>
            <w:r w:rsidRPr="00CA72A2">
              <w:rPr>
                <w:rFonts w:asciiTheme="majorHAnsi" w:eastAsiaTheme="minorEastAsia" w:hAnsiTheme="majorHAnsi"/>
                <w:noProof/>
                <w:sz w:val="24"/>
                <w:lang w:val="es-CR" w:eastAsia="es-CR"/>
              </w:rPr>
              <w:drawing>
                <wp:anchor distT="0" distB="0" distL="114300" distR="114300" simplePos="0" relativeHeight="251660288" behindDoc="0" locked="0" layoutInCell="1" allowOverlap="1" wp14:anchorId="6D31B9BD" wp14:editId="27AF6FE3">
                  <wp:simplePos x="0" y="0"/>
                  <wp:positionH relativeFrom="column">
                    <wp:posOffset>-142875</wp:posOffset>
                  </wp:positionH>
                  <wp:positionV relativeFrom="paragraph">
                    <wp:posOffset>22393275</wp:posOffset>
                  </wp:positionV>
                  <wp:extent cx="8258175" cy="14954250"/>
                  <wp:effectExtent l="0" t="0" r="952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58175" cy="14954250"/>
                          </a:xfrm>
                          <a:prstGeom prst="rect">
                            <a:avLst/>
                          </a:prstGeom>
                          <a:noFill/>
                        </pic:spPr>
                      </pic:pic>
                    </a:graphicData>
                  </a:graphic>
                  <wp14:sizeRelH relativeFrom="page">
                    <wp14:pctWidth>0</wp14:pctWidth>
                  </wp14:sizeRelH>
                  <wp14:sizeRelV relativeFrom="page">
                    <wp14:pctHeight>0</wp14:pctHeight>
                  </wp14:sizeRelV>
                </wp:anchor>
              </w:drawing>
            </w:r>
            <w:r w:rsidRPr="00CA72A2">
              <w:rPr>
                <w:rFonts w:asciiTheme="majorHAnsi" w:hAnsiTheme="majorHAnsi"/>
                <w:sz w:val="24"/>
              </w:rPr>
              <w:t>emisiones (capital y deuda), sindicaciones de préstamos, colocaciones de deuda en mercados secundarios.</w:t>
            </w:r>
          </w:p>
        </w:tc>
      </w:tr>
      <w:tr w:rsidR="00350287" w:rsidRPr="00CA72A2" w14:paraId="676CACF7" w14:textId="77777777" w:rsidTr="00E237BE">
        <w:tc>
          <w:tcPr>
            <w:tcW w:w="988" w:type="dxa"/>
            <w:vMerge/>
          </w:tcPr>
          <w:p w14:paraId="370F397B" w14:textId="77777777" w:rsidR="00350287" w:rsidRPr="00CA72A2" w:rsidRDefault="00350287" w:rsidP="0024063E">
            <w:pPr>
              <w:spacing w:line="240" w:lineRule="auto"/>
              <w:ind w:left="33"/>
              <w:jc w:val="center"/>
              <w:rPr>
                <w:rFonts w:asciiTheme="majorHAnsi" w:hAnsiTheme="majorHAnsi"/>
                <w:sz w:val="24"/>
              </w:rPr>
            </w:pPr>
          </w:p>
        </w:tc>
        <w:tc>
          <w:tcPr>
            <w:tcW w:w="1701" w:type="dxa"/>
            <w:vMerge/>
          </w:tcPr>
          <w:p w14:paraId="5E1CF6C7" w14:textId="77777777" w:rsidR="00350287" w:rsidRPr="00CA72A2" w:rsidRDefault="00350287" w:rsidP="0024063E">
            <w:pPr>
              <w:spacing w:line="240" w:lineRule="auto"/>
              <w:ind w:left="33"/>
              <w:rPr>
                <w:rFonts w:asciiTheme="majorHAnsi" w:hAnsiTheme="majorHAnsi"/>
                <w:b/>
                <w:bCs/>
                <w:sz w:val="24"/>
              </w:rPr>
            </w:pPr>
          </w:p>
        </w:tc>
        <w:tc>
          <w:tcPr>
            <w:tcW w:w="2409" w:type="dxa"/>
          </w:tcPr>
          <w:p w14:paraId="18341AFE" w14:textId="77777777" w:rsidR="00350287" w:rsidRPr="00CA72A2" w:rsidRDefault="00350287" w:rsidP="006168C9">
            <w:pPr>
              <w:autoSpaceDE w:val="0"/>
              <w:autoSpaceDN w:val="0"/>
              <w:adjustRightInd w:val="0"/>
              <w:spacing w:line="240" w:lineRule="auto"/>
              <w:ind w:left="33"/>
              <w:jc w:val="left"/>
              <w:rPr>
                <w:rFonts w:asciiTheme="majorHAnsi" w:hAnsiTheme="majorHAnsi"/>
                <w:sz w:val="24"/>
              </w:rPr>
            </w:pPr>
            <w:r w:rsidRPr="00CA72A2">
              <w:rPr>
                <w:rFonts w:asciiTheme="majorHAnsi" w:hAnsiTheme="majorHAnsi"/>
                <w:sz w:val="24"/>
              </w:rPr>
              <w:t>1.2 Finanzas de administraciones locales y públicas</w:t>
            </w:r>
          </w:p>
        </w:tc>
        <w:tc>
          <w:tcPr>
            <w:tcW w:w="3402" w:type="dxa"/>
          </w:tcPr>
          <w:p w14:paraId="21FC4EED" w14:textId="77777777" w:rsidR="00350287" w:rsidRPr="00CA72A2" w:rsidRDefault="00350287" w:rsidP="0024063E">
            <w:pPr>
              <w:autoSpaceDE w:val="0"/>
              <w:autoSpaceDN w:val="0"/>
              <w:adjustRightInd w:val="0"/>
              <w:spacing w:line="240" w:lineRule="auto"/>
              <w:ind w:left="33"/>
              <w:rPr>
                <w:rFonts w:asciiTheme="majorHAnsi" w:hAnsiTheme="majorHAnsi"/>
                <w:sz w:val="24"/>
              </w:rPr>
            </w:pPr>
            <w:r w:rsidRPr="00CA72A2">
              <w:rPr>
                <w:rFonts w:asciiTheme="majorHAnsi" w:hAnsiTheme="majorHAnsi"/>
                <w:sz w:val="24"/>
              </w:rPr>
              <w:t>Financiamiento al sector público, participación en licitación de emisiones de deuda, administración de fondos públicos, colocación de deuda pública.</w:t>
            </w:r>
          </w:p>
        </w:tc>
      </w:tr>
      <w:tr w:rsidR="00350287" w:rsidRPr="00CA72A2" w14:paraId="611C7BE4" w14:textId="77777777" w:rsidTr="00E237BE">
        <w:tc>
          <w:tcPr>
            <w:tcW w:w="988" w:type="dxa"/>
            <w:vMerge/>
          </w:tcPr>
          <w:p w14:paraId="4F347BE3" w14:textId="77777777" w:rsidR="00350287" w:rsidRPr="00CA72A2" w:rsidRDefault="00350287" w:rsidP="0024063E">
            <w:pPr>
              <w:spacing w:line="240" w:lineRule="auto"/>
              <w:ind w:left="33"/>
              <w:jc w:val="center"/>
              <w:rPr>
                <w:rFonts w:asciiTheme="majorHAnsi" w:hAnsiTheme="majorHAnsi"/>
                <w:sz w:val="24"/>
              </w:rPr>
            </w:pPr>
          </w:p>
        </w:tc>
        <w:tc>
          <w:tcPr>
            <w:tcW w:w="1701" w:type="dxa"/>
            <w:vMerge/>
          </w:tcPr>
          <w:p w14:paraId="2B818C7B" w14:textId="77777777" w:rsidR="00350287" w:rsidRPr="00CA72A2" w:rsidRDefault="00350287" w:rsidP="0024063E">
            <w:pPr>
              <w:spacing w:line="240" w:lineRule="auto"/>
              <w:ind w:left="33"/>
              <w:rPr>
                <w:rFonts w:asciiTheme="majorHAnsi" w:hAnsiTheme="majorHAnsi"/>
                <w:b/>
                <w:bCs/>
                <w:sz w:val="24"/>
              </w:rPr>
            </w:pPr>
          </w:p>
        </w:tc>
        <w:tc>
          <w:tcPr>
            <w:tcW w:w="2409" w:type="dxa"/>
          </w:tcPr>
          <w:p w14:paraId="23F71C6F" w14:textId="77777777" w:rsidR="00350287" w:rsidRPr="00CA72A2" w:rsidRDefault="00350287" w:rsidP="006168C9">
            <w:pPr>
              <w:autoSpaceDE w:val="0"/>
              <w:autoSpaceDN w:val="0"/>
              <w:adjustRightInd w:val="0"/>
              <w:spacing w:line="240" w:lineRule="auto"/>
              <w:ind w:left="33"/>
              <w:jc w:val="left"/>
              <w:rPr>
                <w:rFonts w:asciiTheme="majorHAnsi" w:hAnsiTheme="majorHAnsi"/>
                <w:sz w:val="24"/>
              </w:rPr>
            </w:pPr>
            <w:r w:rsidRPr="00CA72A2">
              <w:rPr>
                <w:rFonts w:asciiTheme="majorHAnsi" w:hAnsiTheme="majorHAnsi"/>
                <w:sz w:val="24"/>
              </w:rPr>
              <w:t>1.3 Banca de inversión</w:t>
            </w:r>
          </w:p>
        </w:tc>
        <w:tc>
          <w:tcPr>
            <w:tcW w:w="3402" w:type="dxa"/>
          </w:tcPr>
          <w:p w14:paraId="5A0A8851" w14:textId="77777777" w:rsidR="00350287" w:rsidRPr="00CA72A2" w:rsidRDefault="00350287" w:rsidP="0024063E">
            <w:pPr>
              <w:autoSpaceDE w:val="0"/>
              <w:autoSpaceDN w:val="0"/>
              <w:adjustRightInd w:val="0"/>
              <w:spacing w:line="240" w:lineRule="auto"/>
              <w:ind w:left="33"/>
              <w:rPr>
                <w:rFonts w:asciiTheme="majorHAnsi" w:hAnsiTheme="majorHAnsi"/>
                <w:sz w:val="24"/>
              </w:rPr>
            </w:pPr>
            <w:r w:rsidRPr="00CA72A2">
              <w:rPr>
                <w:rFonts w:asciiTheme="majorHAnsi" w:hAnsiTheme="majorHAnsi"/>
                <w:sz w:val="24"/>
              </w:rPr>
              <w:t>Asesoramientos en inversiones (fondos comunes de inversión, obligaciones negociables, acciones, títulos.</w:t>
            </w:r>
          </w:p>
        </w:tc>
      </w:tr>
      <w:tr w:rsidR="00350287" w:rsidRPr="00CA72A2" w14:paraId="1FDE92C8" w14:textId="77777777" w:rsidTr="00E237BE">
        <w:tc>
          <w:tcPr>
            <w:tcW w:w="988" w:type="dxa"/>
            <w:vMerge/>
          </w:tcPr>
          <w:p w14:paraId="1CC9CC52" w14:textId="77777777" w:rsidR="00350287" w:rsidRPr="00CA72A2" w:rsidRDefault="00350287" w:rsidP="0024063E">
            <w:pPr>
              <w:spacing w:line="240" w:lineRule="auto"/>
              <w:ind w:left="33"/>
              <w:jc w:val="center"/>
              <w:rPr>
                <w:rFonts w:asciiTheme="majorHAnsi" w:hAnsiTheme="majorHAnsi"/>
                <w:sz w:val="24"/>
              </w:rPr>
            </w:pPr>
          </w:p>
        </w:tc>
        <w:tc>
          <w:tcPr>
            <w:tcW w:w="1701" w:type="dxa"/>
            <w:vMerge/>
          </w:tcPr>
          <w:p w14:paraId="04B02E40" w14:textId="77777777" w:rsidR="00350287" w:rsidRPr="00CA72A2" w:rsidRDefault="00350287" w:rsidP="0024063E">
            <w:pPr>
              <w:spacing w:line="240" w:lineRule="auto"/>
              <w:ind w:left="33"/>
              <w:rPr>
                <w:rFonts w:asciiTheme="majorHAnsi" w:hAnsiTheme="majorHAnsi"/>
                <w:b/>
                <w:bCs/>
                <w:sz w:val="24"/>
              </w:rPr>
            </w:pPr>
          </w:p>
        </w:tc>
        <w:tc>
          <w:tcPr>
            <w:tcW w:w="2409" w:type="dxa"/>
          </w:tcPr>
          <w:p w14:paraId="75EAF329" w14:textId="77777777" w:rsidR="00350287" w:rsidRPr="00CA72A2" w:rsidRDefault="00350287" w:rsidP="006168C9">
            <w:pPr>
              <w:autoSpaceDE w:val="0"/>
              <w:autoSpaceDN w:val="0"/>
              <w:adjustRightInd w:val="0"/>
              <w:spacing w:line="240" w:lineRule="auto"/>
              <w:ind w:left="33"/>
              <w:jc w:val="left"/>
              <w:rPr>
                <w:rFonts w:asciiTheme="majorHAnsi" w:hAnsiTheme="majorHAnsi"/>
                <w:sz w:val="24"/>
              </w:rPr>
            </w:pPr>
            <w:r w:rsidRPr="00CA72A2">
              <w:rPr>
                <w:rFonts w:asciiTheme="majorHAnsi" w:hAnsiTheme="majorHAnsi"/>
                <w:sz w:val="24"/>
              </w:rPr>
              <w:t>1.4 Servicios de asesoramiento</w:t>
            </w:r>
          </w:p>
        </w:tc>
        <w:tc>
          <w:tcPr>
            <w:tcW w:w="3402" w:type="dxa"/>
          </w:tcPr>
          <w:p w14:paraId="517F68A6" w14:textId="77777777" w:rsidR="00350287" w:rsidRPr="00CA72A2" w:rsidRDefault="00350287" w:rsidP="0024063E">
            <w:pPr>
              <w:autoSpaceDE w:val="0"/>
              <w:autoSpaceDN w:val="0"/>
              <w:adjustRightInd w:val="0"/>
              <w:spacing w:line="240" w:lineRule="auto"/>
              <w:ind w:left="33"/>
              <w:rPr>
                <w:rFonts w:asciiTheme="majorHAnsi" w:hAnsiTheme="majorHAnsi"/>
                <w:sz w:val="24"/>
              </w:rPr>
            </w:pPr>
            <w:r w:rsidRPr="00CA72A2">
              <w:rPr>
                <w:rFonts w:asciiTheme="majorHAnsi" w:hAnsiTheme="majorHAnsi"/>
                <w:sz w:val="24"/>
              </w:rPr>
              <w:t>Servicio de asesoramiento en productos estructurados de inversión y cobertura de riesgos.</w:t>
            </w:r>
          </w:p>
        </w:tc>
      </w:tr>
      <w:tr w:rsidR="00350287" w:rsidRPr="00CA72A2" w14:paraId="68C1A27C" w14:textId="77777777" w:rsidTr="00E237BE">
        <w:tc>
          <w:tcPr>
            <w:tcW w:w="988" w:type="dxa"/>
            <w:vMerge w:val="restart"/>
          </w:tcPr>
          <w:p w14:paraId="38B1BA67" w14:textId="77777777" w:rsidR="00350287" w:rsidRPr="00CA72A2" w:rsidRDefault="00350287" w:rsidP="0024063E">
            <w:pPr>
              <w:spacing w:line="240" w:lineRule="auto"/>
              <w:ind w:left="33"/>
              <w:jc w:val="center"/>
              <w:rPr>
                <w:rFonts w:asciiTheme="majorHAnsi" w:hAnsiTheme="majorHAnsi"/>
                <w:sz w:val="24"/>
              </w:rPr>
            </w:pPr>
            <w:r w:rsidRPr="00CA72A2">
              <w:rPr>
                <w:rFonts w:asciiTheme="majorHAnsi" w:hAnsiTheme="majorHAnsi"/>
                <w:sz w:val="24"/>
              </w:rPr>
              <w:t>2</w:t>
            </w:r>
          </w:p>
        </w:tc>
        <w:tc>
          <w:tcPr>
            <w:tcW w:w="1701" w:type="dxa"/>
            <w:vMerge w:val="restart"/>
          </w:tcPr>
          <w:p w14:paraId="1548E0A8" w14:textId="77777777" w:rsidR="00350287" w:rsidRPr="00CA72A2" w:rsidRDefault="00350287" w:rsidP="0024063E">
            <w:pPr>
              <w:spacing w:line="240" w:lineRule="auto"/>
              <w:ind w:left="33"/>
              <w:jc w:val="center"/>
              <w:rPr>
                <w:rFonts w:asciiTheme="majorHAnsi" w:hAnsiTheme="majorHAnsi"/>
                <w:sz w:val="24"/>
              </w:rPr>
            </w:pPr>
            <w:r w:rsidRPr="00CA72A2">
              <w:rPr>
                <w:rFonts w:asciiTheme="majorHAnsi" w:hAnsiTheme="majorHAnsi"/>
                <w:b/>
                <w:bCs/>
                <w:sz w:val="24"/>
              </w:rPr>
              <w:t>Tesorería</w:t>
            </w:r>
          </w:p>
        </w:tc>
        <w:tc>
          <w:tcPr>
            <w:tcW w:w="2409" w:type="dxa"/>
          </w:tcPr>
          <w:p w14:paraId="27DF3B57" w14:textId="77777777" w:rsidR="00350287" w:rsidRPr="00CA72A2" w:rsidRDefault="00350287" w:rsidP="006168C9">
            <w:pPr>
              <w:autoSpaceDE w:val="0"/>
              <w:autoSpaceDN w:val="0"/>
              <w:adjustRightInd w:val="0"/>
              <w:spacing w:line="240" w:lineRule="auto"/>
              <w:ind w:left="33"/>
              <w:jc w:val="left"/>
              <w:rPr>
                <w:rFonts w:asciiTheme="majorHAnsi" w:hAnsiTheme="majorHAnsi"/>
                <w:sz w:val="24"/>
              </w:rPr>
            </w:pPr>
            <w:r w:rsidRPr="00CA72A2">
              <w:rPr>
                <w:rFonts w:asciiTheme="majorHAnsi" w:hAnsiTheme="majorHAnsi"/>
                <w:sz w:val="24"/>
              </w:rPr>
              <w:t>2.1 Tesorería por cuenta de terceros</w:t>
            </w:r>
          </w:p>
        </w:tc>
        <w:tc>
          <w:tcPr>
            <w:tcW w:w="3402" w:type="dxa"/>
          </w:tcPr>
          <w:p w14:paraId="39F435D3" w14:textId="77777777" w:rsidR="00350287" w:rsidRPr="00CA72A2" w:rsidRDefault="00350287" w:rsidP="0024063E">
            <w:pPr>
              <w:autoSpaceDE w:val="0"/>
              <w:autoSpaceDN w:val="0"/>
              <w:adjustRightInd w:val="0"/>
              <w:spacing w:line="240" w:lineRule="auto"/>
              <w:ind w:left="33"/>
              <w:rPr>
                <w:rFonts w:asciiTheme="majorHAnsi" w:hAnsiTheme="majorHAnsi"/>
                <w:sz w:val="24"/>
              </w:rPr>
            </w:pPr>
            <w:r w:rsidRPr="00CA72A2">
              <w:rPr>
                <w:rFonts w:asciiTheme="majorHAnsi" w:hAnsiTheme="majorHAnsi"/>
                <w:sz w:val="24"/>
              </w:rPr>
              <w:t xml:space="preserve">Distribución y venta a clientes, desde las áreas de tesorería y mercado de capitales, de valores de renta fija y variable, forex, préstamo de valores, repos, derivados y otros productos propios del área de tesorería que no implican posición por cuenta propia, siendo el </w:t>
            </w:r>
            <w:r w:rsidRPr="00CA72A2">
              <w:rPr>
                <w:rFonts w:asciiTheme="majorHAnsi" w:hAnsiTheme="majorHAnsi"/>
                <w:sz w:val="24"/>
              </w:rPr>
              <w:lastRenderedPageBreak/>
              <w:t>resultado de las mismas una comisión.</w:t>
            </w:r>
          </w:p>
        </w:tc>
      </w:tr>
      <w:tr w:rsidR="00350287" w:rsidRPr="00CA72A2" w14:paraId="5BEEFA60" w14:textId="77777777" w:rsidTr="00E237BE">
        <w:tc>
          <w:tcPr>
            <w:tcW w:w="988" w:type="dxa"/>
            <w:vMerge/>
          </w:tcPr>
          <w:p w14:paraId="67837025" w14:textId="77777777" w:rsidR="00350287" w:rsidRPr="00CA72A2" w:rsidRDefault="00350287" w:rsidP="0024063E">
            <w:pPr>
              <w:spacing w:line="240" w:lineRule="auto"/>
              <w:ind w:left="33"/>
              <w:jc w:val="center"/>
              <w:rPr>
                <w:rFonts w:asciiTheme="majorHAnsi" w:hAnsiTheme="majorHAnsi"/>
                <w:sz w:val="24"/>
              </w:rPr>
            </w:pPr>
          </w:p>
        </w:tc>
        <w:tc>
          <w:tcPr>
            <w:tcW w:w="1701" w:type="dxa"/>
            <w:vMerge/>
          </w:tcPr>
          <w:p w14:paraId="38723A5F" w14:textId="77777777" w:rsidR="00350287" w:rsidRPr="00CA72A2" w:rsidRDefault="00350287" w:rsidP="0024063E">
            <w:pPr>
              <w:spacing w:line="240" w:lineRule="auto"/>
              <w:ind w:left="33"/>
              <w:rPr>
                <w:rFonts w:asciiTheme="majorHAnsi" w:hAnsiTheme="majorHAnsi"/>
                <w:b/>
                <w:bCs/>
                <w:sz w:val="24"/>
              </w:rPr>
            </w:pPr>
          </w:p>
        </w:tc>
        <w:tc>
          <w:tcPr>
            <w:tcW w:w="2409" w:type="dxa"/>
          </w:tcPr>
          <w:p w14:paraId="11361CD1" w14:textId="77777777" w:rsidR="00350287" w:rsidRPr="00CA72A2" w:rsidRDefault="00350287" w:rsidP="006168C9">
            <w:pPr>
              <w:autoSpaceDE w:val="0"/>
              <w:autoSpaceDN w:val="0"/>
              <w:adjustRightInd w:val="0"/>
              <w:spacing w:line="240" w:lineRule="auto"/>
              <w:ind w:left="33"/>
              <w:jc w:val="left"/>
              <w:rPr>
                <w:rFonts w:asciiTheme="majorHAnsi" w:hAnsiTheme="majorHAnsi"/>
                <w:sz w:val="24"/>
              </w:rPr>
            </w:pPr>
            <w:r w:rsidRPr="00CA72A2">
              <w:rPr>
                <w:rFonts w:asciiTheme="majorHAnsi" w:hAnsiTheme="majorHAnsi"/>
                <w:sz w:val="24"/>
              </w:rPr>
              <w:t>2.2 Tesorería posiciones propias</w:t>
            </w:r>
          </w:p>
        </w:tc>
        <w:tc>
          <w:tcPr>
            <w:tcW w:w="3402" w:type="dxa"/>
          </w:tcPr>
          <w:p w14:paraId="63FC2A48" w14:textId="77777777" w:rsidR="00350287" w:rsidRPr="00CA72A2" w:rsidRDefault="00350287" w:rsidP="0024063E">
            <w:pPr>
              <w:autoSpaceDE w:val="0"/>
              <w:autoSpaceDN w:val="0"/>
              <w:adjustRightInd w:val="0"/>
              <w:spacing w:line="240" w:lineRule="auto"/>
              <w:ind w:left="33"/>
              <w:rPr>
                <w:rFonts w:asciiTheme="majorHAnsi" w:hAnsiTheme="majorHAnsi"/>
                <w:sz w:val="24"/>
              </w:rPr>
            </w:pPr>
            <w:r w:rsidRPr="00CA72A2">
              <w:rPr>
                <w:rFonts w:asciiTheme="majorHAnsi" w:hAnsiTheme="majorHAnsi"/>
                <w:sz w:val="24"/>
              </w:rPr>
              <w:t>Operaciones que implican posiciones tomadas por cuenta propia en renta fija, en renta variable, forex, derivados y otros productos.</w:t>
            </w:r>
          </w:p>
        </w:tc>
      </w:tr>
      <w:tr w:rsidR="00350287" w:rsidRPr="00CA72A2" w14:paraId="57ADA685" w14:textId="77777777" w:rsidTr="00E237BE">
        <w:tc>
          <w:tcPr>
            <w:tcW w:w="988" w:type="dxa"/>
            <w:vMerge/>
          </w:tcPr>
          <w:p w14:paraId="7A081621" w14:textId="77777777" w:rsidR="00350287" w:rsidRPr="00CA72A2" w:rsidRDefault="00350287" w:rsidP="0024063E">
            <w:pPr>
              <w:spacing w:line="240" w:lineRule="auto"/>
              <w:ind w:left="33"/>
              <w:jc w:val="center"/>
              <w:rPr>
                <w:rFonts w:asciiTheme="majorHAnsi" w:hAnsiTheme="majorHAnsi"/>
                <w:sz w:val="24"/>
              </w:rPr>
            </w:pPr>
          </w:p>
        </w:tc>
        <w:tc>
          <w:tcPr>
            <w:tcW w:w="1701" w:type="dxa"/>
            <w:vMerge/>
          </w:tcPr>
          <w:p w14:paraId="2345E75A" w14:textId="77777777" w:rsidR="00350287" w:rsidRPr="00CA72A2" w:rsidRDefault="00350287" w:rsidP="0024063E">
            <w:pPr>
              <w:spacing w:line="240" w:lineRule="auto"/>
              <w:ind w:left="33"/>
              <w:rPr>
                <w:rFonts w:asciiTheme="majorHAnsi" w:hAnsiTheme="majorHAnsi"/>
                <w:b/>
                <w:bCs/>
                <w:sz w:val="24"/>
              </w:rPr>
            </w:pPr>
          </w:p>
        </w:tc>
        <w:tc>
          <w:tcPr>
            <w:tcW w:w="2409" w:type="dxa"/>
          </w:tcPr>
          <w:p w14:paraId="4BC928CF" w14:textId="77777777" w:rsidR="00350287" w:rsidRPr="00CA72A2" w:rsidRDefault="00350287" w:rsidP="006168C9">
            <w:pPr>
              <w:autoSpaceDE w:val="0"/>
              <w:autoSpaceDN w:val="0"/>
              <w:adjustRightInd w:val="0"/>
              <w:spacing w:line="240" w:lineRule="auto"/>
              <w:ind w:left="33"/>
              <w:jc w:val="left"/>
              <w:rPr>
                <w:rFonts w:asciiTheme="majorHAnsi" w:hAnsiTheme="majorHAnsi"/>
                <w:sz w:val="24"/>
              </w:rPr>
            </w:pPr>
            <w:r w:rsidRPr="00CA72A2">
              <w:rPr>
                <w:rFonts w:asciiTheme="majorHAnsi" w:hAnsiTheme="majorHAnsi"/>
                <w:sz w:val="24"/>
              </w:rPr>
              <w:t>2.3 Tesorería tradicional</w:t>
            </w:r>
          </w:p>
        </w:tc>
        <w:tc>
          <w:tcPr>
            <w:tcW w:w="3402" w:type="dxa"/>
          </w:tcPr>
          <w:p w14:paraId="7F2F611E" w14:textId="77777777" w:rsidR="00350287" w:rsidRPr="00CA72A2" w:rsidRDefault="00350287" w:rsidP="0024063E">
            <w:pPr>
              <w:autoSpaceDE w:val="0"/>
              <w:autoSpaceDN w:val="0"/>
              <w:adjustRightInd w:val="0"/>
              <w:spacing w:line="240" w:lineRule="auto"/>
              <w:ind w:left="33"/>
              <w:rPr>
                <w:rFonts w:asciiTheme="majorHAnsi" w:hAnsiTheme="majorHAnsi"/>
                <w:sz w:val="24"/>
              </w:rPr>
            </w:pPr>
            <w:r w:rsidRPr="00CA72A2">
              <w:rPr>
                <w:rFonts w:asciiTheme="majorHAnsi" w:hAnsiTheme="majorHAnsi"/>
                <w:sz w:val="24"/>
              </w:rPr>
              <w:t>Actividades cotidianas de fondeo llevadas a cabo por la Tesorería (préstamos interbancarios, operaciones de reporto, etc.), administración de la liquidez y otros.</w:t>
            </w:r>
          </w:p>
        </w:tc>
      </w:tr>
      <w:tr w:rsidR="00350287" w:rsidRPr="00CA72A2" w14:paraId="2697C364" w14:textId="77777777" w:rsidTr="00E237BE">
        <w:tc>
          <w:tcPr>
            <w:tcW w:w="988" w:type="dxa"/>
            <w:vMerge w:val="restart"/>
          </w:tcPr>
          <w:p w14:paraId="3BDA2870" w14:textId="77777777" w:rsidR="00350287" w:rsidRPr="00CA72A2" w:rsidRDefault="00350287" w:rsidP="0024063E">
            <w:pPr>
              <w:spacing w:line="240" w:lineRule="auto"/>
              <w:ind w:left="33"/>
              <w:jc w:val="center"/>
              <w:rPr>
                <w:rFonts w:asciiTheme="majorHAnsi" w:hAnsiTheme="majorHAnsi"/>
                <w:sz w:val="24"/>
              </w:rPr>
            </w:pPr>
            <w:r w:rsidRPr="00CA72A2">
              <w:rPr>
                <w:rFonts w:asciiTheme="majorHAnsi" w:hAnsiTheme="majorHAnsi"/>
                <w:sz w:val="24"/>
              </w:rPr>
              <w:t>3</w:t>
            </w:r>
          </w:p>
        </w:tc>
        <w:tc>
          <w:tcPr>
            <w:tcW w:w="1701" w:type="dxa"/>
            <w:vMerge w:val="restart"/>
          </w:tcPr>
          <w:p w14:paraId="3B4E2EA6" w14:textId="77777777" w:rsidR="00350287" w:rsidRPr="00CA72A2" w:rsidRDefault="00350287" w:rsidP="0024063E">
            <w:pPr>
              <w:spacing w:line="240" w:lineRule="auto"/>
              <w:ind w:left="33"/>
              <w:jc w:val="center"/>
              <w:rPr>
                <w:rFonts w:asciiTheme="majorHAnsi" w:hAnsiTheme="majorHAnsi"/>
                <w:sz w:val="24"/>
              </w:rPr>
            </w:pPr>
            <w:r w:rsidRPr="00CA72A2">
              <w:rPr>
                <w:rFonts w:asciiTheme="majorHAnsi" w:hAnsiTheme="majorHAnsi"/>
                <w:b/>
                <w:bCs/>
                <w:sz w:val="24"/>
              </w:rPr>
              <w:t>Banca minorista</w:t>
            </w:r>
          </w:p>
        </w:tc>
        <w:tc>
          <w:tcPr>
            <w:tcW w:w="2409" w:type="dxa"/>
          </w:tcPr>
          <w:p w14:paraId="4160679A" w14:textId="77777777" w:rsidR="00350287" w:rsidRPr="00CA72A2" w:rsidRDefault="00350287" w:rsidP="006168C9">
            <w:pPr>
              <w:autoSpaceDE w:val="0"/>
              <w:autoSpaceDN w:val="0"/>
              <w:adjustRightInd w:val="0"/>
              <w:spacing w:line="240" w:lineRule="auto"/>
              <w:ind w:left="33"/>
              <w:jc w:val="left"/>
              <w:rPr>
                <w:rFonts w:asciiTheme="majorHAnsi" w:hAnsiTheme="majorHAnsi"/>
                <w:sz w:val="24"/>
              </w:rPr>
            </w:pPr>
            <w:r w:rsidRPr="00CA72A2">
              <w:rPr>
                <w:rFonts w:asciiTheme="majorHAnsi" w:hAnsiTheme="majorHAnsi"/>
                <w:sz w:val="24"/>
              </w:rPr>
              <w:t>3.1 Banca de Personas</w:t>
            </w:r>
          </w:p>
        </w:tc>
        <w:tc>
          <w:tcPr>
            <w:tcW w:w="3402" w:type="dxa"/>
          </w:tcPr>
          <w:p w14:paraId="2A735BDC" w14:textId="77777777" w:rsidR="00350287" w:rsidRPr="00CA72A2" w:rsidRDefault="00350287" w:rsidP="0024063E">
            <w:pPr>
              <w:autoSpaceDE w:val="0"/>
              <w:autoSpaceDN w:val="0"/>
              <w:adjustRightInd w:val="0"/>
              <w:spacing w:line="240" w:lineRule="auto"/>
              <w:ind w:left="33"/>
              <w:rPr>
                <w:rFonts w:asciiTheme="majorHAnsi" w:hAnsiTheme="majorHAnsi"/>
                <w:sz w:val="24"/>
              </w:rPr>
            </w:pPr>
            <w:r w:rsidRPr="00CA72A2">
              <w:rPr>
                <w:rFonts w:asciiTheme="majorHAnsi" w:hAnsiTheme="majorHAnsi"/>
                <w:sz w:val="24"/>
              </w:rPr>
              <w:t>Hipotecas, créditos personales, prendarios, adelantos en cuenta corriente, descuento de documentos, leasing, depósitos vista (cuenta corriente y caja de ahorro), depósitos a plazo, fideicomisos y otros servicios bancarios (débitos en cuenta, fondos comunes de inversión, participación en fideicomisos, compra y venta de títulos y acciones, etc.)</w:t>
            </w:r>
          </w:p>
        </w:tc>
      </w:tr>
      <w:tr w:rsidR="00350287" w:rsidRPr="00CA72A2" w14:paraId="0BF9CA36" w14:textId="77777777" w:rsidTr="00E237BE">
        <w:tc>
          <w:tcPr>
            <w:tcW w:w="988" w:type="dxa"/>
            <w:vMerge/>
          </w:tcPr>
          <w:p w14:paraId="272F9D36" w14:textId="77777777" w:rsidR="00350287" w:rsidRPr="00CA72A2" w:rsidRDefault="00350287" w:rsidP="0024063E">
            <w:pPr>
              <w:spacing w:line="240" w:lineRule="auto"/>
              <w:ind w:left="33"/>
              <w:jc w:val="center"/>
              <w:rPr>
                <w:rFonts w:asciiTheme="majorHAnsi" w:hAnsiTheme="majorHAnsi"/>
                <w:sz w:val="24"/>
              </w:rPr>
            </w:pPr>
          </w:p>
        </w:tc>
        <w:tc>
          <w:tcPr>
            <w:tcW w:w="1701" w:type="dxa"/>
            <w:vMerge/>
          </w:tcPr>
          <w:p w14:paraId="68AED7D6" w14:textId="77777777" w:rsidR="00350287" w:rsidRPr="00CA72A2" w:rsidRDefault="00350287" w:rsidP="0024063E">
            <w:pPr>
              <w:spacing w:line="240" w:lineRule="auto"/>
              <w:ind w:left="33"/>
              <w:rPr>
                <w:rFonts w:asciiTheme="majorHAnsi" w:hAnsiTheme="majorHAnsi"/>
                <w:b/>
                <w:bCs/>
                <w:sz w:val="24"/>
              </w:rPr>
            </w:pPr>
          </w:p>
        </w:tc>
        <w:tc>
          <w:tcPr>
            <w:tcW w:w="2409" w:type="dxa"/>
          </w:tcPr>
          <w:p w14:paraId="169B27ED" w14:textId="77777777" w:rsidR="00350287" w:rsidRPr="00CA72A2" w:rsidRDefault="00350287" w:rsidP="0024063E">
            <w:pPr>
              <w:autoSpaceDE w:val="0"/>
              <w:autoSpaceDN w:val="0"/>
              <w:adjustRightInd w:val="0"/>
              <w:spacing w:line="240" w:lineRule="auto"/>
              <w:ind w:left="33"/>
              <w:rPr>
                <w:rFonts w:asciiTheme="majorHAnsi" w:hAnsiTheme="majorHAnsi"/>
                <w:sz w:val="24"/>
              </w:rPr>
            </w:pPr>
            <w:r w:rsidRPr="00CA72A2">
              <w:rPr>
                <w:rFonts w:asciiTheme="majorHAnsi" w:hAnsiTheme="majorHAnsi"/>
                <w:sz w:val="24"/>
              </w:rPr>
              <w:t>3.2 Banca Privada (personas alto poder adquisitivo)</w:t>
            </w:r>
          </w:p>
        </w:tc>
        <w:tc>
          <w:tcPr>
            <w:tcW w:w="3402" w:type="dxa"/>
          </w:tcPr>
          <w:p w14:paraId="59577A40" w14:textId="77777777" w:rsidR="00350287" w:rsidRPr="00CA72A2" w:rsidRDefault="00350287" w:rsidP="0024063E">
            <w:pPr>
              <w:autoSpaceDE w:val="0"/>
              <w:autoSpaceDN w:val="0"/>
              <w:adjustRightInd w:val="0"/>
              <w:spacing w:line="240" w:lineRule="auto"/>
              <w:ind w:left="33"/>
              <w:rPr>
                <w:rFonts w:asciiTheme="majorHAnsi" w:hAnsiTheme="majorHAnsi"/>
                <w:sz w:val="24"/>
              </w:rPr>
            </w:pPr>
            <w:r w:rsidRPr="00CA72A2">
              <w:rPr>
                <w:rFonts w:asciiTheme="majorHAnsi" w:hAnsiTheme="majorHAnsi"/>
                <w:sz w:val="24"/>
              </w:rPr>
              <w:t>Hipotecas, créditos personales, prendarios, adelantos en cuenta corriente, descuento de documentos, leasing, depósitos vista (cuenta corriente y caja de ahorro), depósitos a plazo, fideicomisos y otros servicios bancarios (débitos en cuenta, fondos comunes de inversión, participación en fideicomisos, compra y venta de títulos y acciones, etc.)</w:t>
            </w:r>
          </w:p>
        </w:tc>
      </w:tr>
      <w:tr w:rsidR="00350287" w:rsidRPr="00CA72A2" w14:paraId="2D6F4969" w14:textId="77777777" w:rsidTr="00E237BE">
        <w:tc>
          <w:tcPr>
            <w:tcW w:w="988" w:type="dxa"/>
            <w:vMerge/>
          </w:tcPr>
          <w:p w14:paraId="08CF2EBF" w14:textId="77777777" w:rsidR="00350287" w:rsidRPr="00CA72A2" w:rsidRDefault="00350287" w:rsidP="0024063E">
            <w:pPr>
              <w:spacing w:line="240" w:lineRule="auto"/>
              <w:ind w:left="33"/>
              <w:jc w:val="center"/>
              <w:rPr>
                <w:rFonts w:asciiTheme="majorHAnsi" w:hAnsiTheme="majorHAnsi"/>
                <w:sz w:val="24"/>
              </w:rPr>
            </w:pPr>
          </w:p>
        </w:tc>
        <w:tc>
          <w:tcPr>
            <w:tcW w:w="1701" w:type="dxa"/>
            <w:vMerge/>
          </w:tcPr>
          <w:p w14:paraId="0F41008C" w14:textId="77777777" w:rsidR="00350287" w:rsidRPr="00CA72A2" w:rsidRDefault="00350287" w:rsidP="0024063E">
            <w:pPr>
              <w:spacing w:line="240" w:lineRule="auto"/>
              <w:ind w:left="33"/>
              <w:rPr>
                <w:rFonts w:asciiTheme="majorHAnsi" w:hAnsiTheme="majorHAnsi"/>
                <w:b/>
                <w:bCs/>
                <w:sz w:val="24"/>
              </w:rPr>
            </w:pPr>
          </w:p>
        </w:tc>
        <w:tc>
          <w:tcPr>
            <w:tcW w:w="2409" w:type="dxa"/>
          </w:tcPr>
          <w:p w14:paraId="4BBEC650" w14:textId="77777777" w:rsidR="00350287" w:rsidRPr="00CA72A2" w:rsidRDefault="00350287" w:rsidP="00966CA3">
            <w:pPr>
              <w:autoSpaceDE w:val="0"/>
              <w:autoSpaceDN w:val="0"/>
              <w:adjustRightInd w:val="0"/>
              <w:spacing w:line="240" w:lineRule="auto"/>
              <w:ind w:left="33"/>
              <w:jc w:val="left"/>
              <w:rPr>
                <w:rFonts w:asciiTheme="majorHAnsi" w:hAnsiTheme="majorHAnsi"/>
                <w:sz w:val="24"/>
              </w:rPr>
            </w:pPr>
            <w:r w:rsidRPr="00CA72A2">
              <w:rPr>
                <w:rFonts w:asciiTheme="majorHAnsi" w:hAnsiTheme="majorHAnsi"/>
                <w:sz w:val="24"/>
              </w:rPr>
              <w:t>3.3 Banca de Desarrollo Minorista</w:t>
            </w:r>
          </w:p>
        </w:tc>
        <w:tc>
          <w:tcPr>
            <w:tcW w:w="3402" w:type="dxa"/>
          </w:tcPr>
          <w:p w14:paraId="70CAC187" w14:textId="77777777" w:rsidR="00350287" w:rsidRPr="00CA72A2" w:rsidRDefault="00350287" w:rsidP="0024063E">
            <w:pPr>
              <w:autoSpaceDE w:val="0"/>
              <w:autoSpaceDN w:val="0"/>
              <w:adjustRightInd w:val="0"/>
              <w:spacing w:line="240" w:lineRule="auto"/>
              <w:ind w:left="33"/>
              <w:rPr>
                <w:rFonts w:asciiTheme="majorHAnsi" w:hAnsiTheme="majorHAnsi"/>
                <w:sz w:val="24"/>
              </w:rPr>
            </w:pPr>
            <w:r w:rsidRPr="00CA72A2">
              <w:rPr>
                <w:rFonts w:asciiTheme="majorHAnsi" w:hAnsiTheme="majorHAnsi"/>
                <w:sz w:val="24"/>
              </w:rPr>
              <w:t>Productos y servicios a Mipymes (personas físicas).</w:t>
            </w:r>
          </w:p>
        </w:tc>
      </w:tr>
      <w:tr w:rsidR="00350287" w:rsidRPr="00CA72A2" w14:paraId="339CE318" w14:textId="77777777" w:rsidTr="00E237BE">
        <w:tc>
          <w:tcPr>
            <w:tcW w:w="988" w:type="dxa"/>
            <w:vMerge w:val="restart"/>
          </w:tcPr>
          <w:p w14:paraId="2160143E" w14:textId="77777777" w:rsidR="00350287" w:rsidRPr="00CA72A2" w:rsidRDefault="00350287" w:rsidP="0024063E">
            <w:pPr>
              <w:spacing w:line="240" w:lineRule="auto"/>
              <w:ind w:left="33"/>
              <w:jc w:val="center"/>
              <w:rPr>
                <w:rFonts w:asciiTheme="majorHAnsi" w:hAnsiTheme="majorHAnsi"/>
                <w:sz w:val="24"/>
              </w:rPr>
            </w:pPr>
            <w:r w:rsidRPr="00CA72A2">
              <w:rPr>
                <w:rFonts w:asciiTheme="majorHAnsi" w:hAnsiTheme="majorHAnsi"/>
                <w:sz w:val="24"/>
              </w:rPr>
              <w:t>4</w:t>
            </w:r>
          </w:p>
        </w:tc>
        <w:tc>
          <w:tcPr>
            <w:tcW w:w="1701" w:type="dxa"/>
            <w:vMerge w:val="restart"/>
          </w:tcPr>
          <w:p w14:paraId="7DF552DB" w14:textId="77777777" w:rsidR="00350287" w:rsidRPr="00CA72A2" w:rsidRDefault="00350287" w:rsidP="0024063E">
            <w:pPr>
              <w:spacing w:line="240" w:lineRule="auto"/>
              <w:ind w:left="33"/>
              <w:jc w:val="center"/>
              <w:rPr>
                <w:rFonts w:asciiTheme="majorHAnsi" w:hAnsiTheme="majorHAnsi"/>
                <w:sz w:val="24"/>
              </w:rPr>
            </w:pPr>
            <w:r w:rsidRPr="00CA72A2">
              <w:rPr>
                <w:rFonts w:asciiTheme="majorHAnsi" w:hAnsiTheme="majorHAnsi"/>
                <w:b/>
                <w:bCs/>
                <w:sz w:val="24"/>
              </w:rPr>
              <w:t>Banca comercial</w:t>
            </w:r>
          </w:p>
        </w:tc>
        <w:tc>
          <w:tcPr>
            <w:tcW w:w="2409" w:type="dxa"/>
          </w:tcPr>
          <w:p w14:paraId="47788E93" w14:textId="77777777" w:rsidR="00350287" w:rsidRPr="00CA72A2" w:rsidRDefault="00350287" w:rsidP="00966CA3">
            <w:pPr>
              <w:autoSpaceDE w:val="0"/>
              <w:autoSpaceDN w:val="0"/>
              <w:adjustRightInd w:val="0"/>
              <w:spacing w:line="240" w:lineRule="auto"/>
              <w:ind w:left="33"/>
              <w:jc w:val="left"/>
              <w:rPr>
                <w:rFonts w:asciiTheme="majorHAnsi" w:hAnsiTheme="majorHAnsi"/>
                <w:sz w:val="24"/>
              </w:rPr>
            </w:pPr>
            <w:r w:rsidRPr="00CA72A2">
              <w:rPr>
                <w:rFonts w:asciiTheme="majorHAnsi" w:hAnsiTheme="majorHAnsi"/>
                <w:sz w:val="24"/>
              </w:rPr>
              <w:t>4.1 Banca Corporativa</w:t>
            </w:r>
          </w:p>
        </w:tc>
        <w:tc>
          <w:tcPr>
            <w:tcW w:w="3402" w:type="dxa"/>
          </w:tcPr>
          <w:p w14:paraId="77027058" w14:textId="77777777" w:rsidR="00350287" w:rsidRPr="00CA72A2" w:rsidRDefault="00350287" w:rsidP="0024063E">
            <w:pPr>
              <w:autoSpaceDE w:val="0"/>
              <w:autoSpaceDN w:val="0"/>
              <w:adjustRightInd w:val="0"/>
              <w:spacing w:line="240" w:lineRule="auto"/>
              <w:ind w:left="33"/>
              <w:rPr>
                <w:rFonts w:asciiTheme="majorHAnsi" w:hAnsiTheme="majorHAnsi"/>
                <w:sz w:val="24"/>
              </w:rPr>
            </w:pPr>
            <w:r w:rsidRPr="00CA72A2">
              <w:rPr>
                <w:rFonts w:asciiTheme="majorHAnsi" w:hAnsiTheme="majorHAnsi"/>
                <w:sz w:val="24"/>
              </w:rPr>
              <w:t>Crédito directo, líneas de crédito, garantías de participación y cumplimiento, cartas de crédito, financiación de importaciones y exportaciones, descuento de documentos, factoreo, certificados de inversión, cuentas corrientes y de ahorro y otros servicios bancarios, fianzas, avales y otras garantías.</w:t>
            </w:r>
          </w:p>
        </w:tc>
      </w:tr>
      <w:tr w:rsidR="00350287" w:rsidRPr="00CA72A2" w14:paraId="78F5ADD3" w14:textId="77777777" w:rsidTr="00E237BE">
        <w:tc>
          <w:tcPr>
            <w:tcW w:w="988" w:type="dxa"/>
            <w:vMerge/>
          </w:tcPr>
          <w:p w14:paraId="24C0E4C4" w14:textId="77777777" w:rsidR="00350287" w:rsidRPr="00CA72A2" w:rsidRDefault="00350287" w:rsidP="0024063E">
            <w:pPr>
              <w:spacing w:line="240" w:lineRule="auto"/>
              <w:ind w:left="33"/>
              <w:jc w:val="center"/>
              <w:rPr>
                <w:rFonts w:asciiTheme="majorHAnsi" w:hAnsiTheme="majorHAnsi"/>
                <w:sz w:val="24"/>
              </w:rPr>
            </w:pPr>
          </w:p>
        </w:tc>
        <w:tc>
          <w:tcPr>
            <w:tcW w:w="1701" w:type="dxa"/>
            <w:vMerge/>
          </w:tcPr>
          <w:p w14:paraId="1714ECE7" w14:textId="77777777" w:rsidR="00350287" w:rsidRPr="00CA72A2" w:rsidRDefault="00350287" w:rsidP="0024063E">
            <w:pPr>
              <w:spacing w:line="240" w:lineRule="auto"/>
              <w:ind w:left="33"/>
              <w:rPr>
                <w:rFonts w:asciiTheme="majorHAnsi" w:hAnsiTheme="majorHAnsi"/>
                <w:b/>
                <w:bCs/>
                <w:sz w:val="24"/>
              </w:rPr>
            </w:pPr>
          </w:p>
        </w:tc>
        <w:tc>
          <w:tcPr>
            <w:tcW w:w="2409" w:type="dxa"/>
          </w:tcPr>
          <w:p w14:paraId="18D10827" w14:textId="77777777" w:rsidR="00350287" w:rsidRPr="00CA72A2" w:rsidRDefault="00350287" w:rsidP="00966CA3">
            <w:pPr>
              <w:autoSpaceDE w:val="0"/>
              <w:autoSpaceDN w:val="0"/>
              <w:adjustRightInd w:val="0"/>
              <w:spacing w:line="240" w:lineRule="auto"/>
              <w:ind w:left="33"/>
              <w:jc w:val="left"/>
              <w:rPr>
                <w:rFonts w:asciiTheme="majorHAnsi" w:hAnsiTheme="majorHAnsi"/>
                <w:sz w:val="24"/>
              </w:rPr>
            </w:pPr>
            <w:r w:rsidRPr="00CA72A2">
              <w:rPr>
                <w:rFonts w:asciiTheme="majorHAnsi" w:hAnsiTheme="majorHAnsi"/>
                <w:sz w:val="24"/>
              </w:rPr>
              <w:t>4.2 Banca Empresarial</w:t>
            </w:r>
          </w:p>
        </w:tc>
        <w:tc>
          <w:tcPr>
            <w:tcW w:w="3402" w:type="dxa"/>
          </w:tcPr>
          <w:p w14:paraId="2632766B" w14:textId="77777777" w:rsidR="00350287" w:rsidRPr="00CA72A2" w:rsidRDefault="00350287" w:rsidP="0024063E">
            <w:pPr>
              <w:autoSpaceDE w:val="0"/>
              <w:autoSpaceDN w:val="0"/>
              <w:adjustRightInd w:val="0"/>
              <w:spacing w:line="240" w:lineRule="auto"/>
              <w:ind w:left="33"/>
              <w:rPr>
                <w:rFonts w:asciiTheme="majorHAnsi" w:hAnsiTheme="majorHAnsi"/>
                <w:sz w:val="24"/>
              </w:rPr>
            </w:pPr>
            <w:r w:rsidRPr="00CA72A2">
              <w:rPr>
                <w:rFonts w:asciiTheme="majorHAnsi" w:hAnsiTheme="majorHAnsi"/>
                <w:sz w:val="24"/>
              </w:rPr>
              <w:t>Crédito directo, líneas de crédito, garantías de participación y cumplimiento, cartas de crédito, financiación de importaciones y exportaciones, descuento de documentos, factoreo, certificados de inversión, cuentas corrientes y de ahorro y otros servicios bancarios, fianzas, avales y otras garantías.</w:t>
            </w:r>
          </w:p>
        </w:tc>
      </w:tr>
      <w:tr w:rsidR="00350287" w:rsidRPr="00CA72A2" w14:paraId="4607C97B" w14:textId="77777777" w:rsidTr="00E237BE">
        <w:tc>
          <w:tcPr>
            <w:tcW w:w="988" w:type="dxa"/>
            <w:vMerge/>
          </w:tcPr>
          <w:p w14:paraId="041A7862" w14:textId="77777777" w:rsidR="00350287" w:rsidRPr="00CA72A2" w:rsidRDefault="00350287" w:rsidP="0024063E">
            <w:pPr>
              <w:spacing w:line="240" w:lineRule="auto"/>
              <w:ind w:left="33"/>
              <w:jc w:val="center"/>
              <w:rPr>
                <w:rFonts w:asciiTheme="majorHAnsi" w:hAnsiTheme="majorHAnsi"/>
                <w:sz w:val="24"/>
              </w:rPr>
            </w:pPr>
          </w:p>
        </w:tc>
        <w:tc>
          <w:tcPr>
            <w:tcW w:w="1701" w:type="dxa"/>
            <w:vMerge/>
          </w:tcPr>
          <w:p w14:paraId="0688FD7B" w14:textId="77777777" w:rsidR="00350287" w:rsidRPr="00CA72A2" w:rsidRDefault="00350287" w:rsidP="0024063E">
            <w:pPr>
              <w:spacing w:line="240" w:lineRule="auto"/>
              <w:ind w:left="33"/>
              <w:rPr>
                <w:rFonts w:asciiTheme="majorHAnsi" w:hAnsiTheme="majorHAnsi"/>
                <w:b/>
                <w:bCs/>
                <w:sz w:val="24"/>
              </w:rPr>
            </w:pPr>
          </w:p>
        </w:tc>
        <w:tc>
          <w:tcPr>
            <w:tcW w:w="2409" w:type="dxa"/>
          </w:tcPr>
          <w:p w14:paraId="5070FBCC" w14:textId="77777777" w:rsidR="00350287" w:rsidRPr="00CA72A2" w:rsidRDefault="00350287" w:rsidP="00966CA3">
            <w:pPr>
              <w:autoSpaceDE w:val="0"/>
              <w:autoSpaceDN w:val="0"/>
              <w:adjustRightInd w:val="0"/>
              <w:spacing w:line="240" w:lineRule="auto"/>
              <w:ind w:left="33"/>
              <w:jc w:val="left"/>
              <w:rPr>
                <w:rFonts w:asciiTheme="majorHAnsi" w:hAnsiTheme="majorHAnsi"/>
                <w:sz w:val="24"/>
              </w:rPr>
            </w:pPr>
            <w:r w:rsidRPr="00CA72A2">
              <w:rPr>
                <w:rFonts w:asciiTheme="majorHAnsi" w:hAnsiTheme="majorHAnsi"/>
                <w:sz w:val="24"/>
              </w:rPr>
              <w:t>4.3 Banca de Desarrollo Comercial</w:t>
            </w:r>
          </w:p>
        </w:tc>
        <w:tc>
          <w:tcPr>
            <w:tcW w:w="3402" w:type="dxa"/>
          </w:tcPr>
          <w:p w14:paraId="1978B015" w14:textId="77777777" w:rsidR="00350287" w:rsidRPr="00CA72A2" w:rsidRDefault="00350287" w:rsidP="0024063E">
            <w:pPr>
              <w:autoSpaceDE w:val="0"/>
              <w:autoSpaceDN w:val="0"/>
              <w:adjustRightInd w:val="0"/>
              <w:spacing w:line="240" w:lineRule="auto"/>
              <w:ind w:left="33"/>
              <w:rPr>
                <w:rFonts w:asciiTheme="majorHAnsi" w:hAnsiTheme="majorHAnsi"/>
                <w:sz w:val="24"/>
              </w:rPr>
            </w:pPr>
            <w:r w:rsidRPr="00CA72A2">
              <w:rPr>
                <w:rFonts w:asciiTheme="majorHAnsi" w:hAnsiTheme="majorHAnsi"/>
                <w:sz w:val="24"/>
              </w:rPr>
              <w:t>Productos y servicios a Mipymes (personas jurídicas)</w:t>
            </w:r>
          </w:p>
        </w:tc>
      </w:tr>
      <w:tr w:rsidR="00350287" w:rsidRPr="00CA72A2" w14:paraId="5F9A4588" w14:textId="77777777" w:rsidTr="00E237BE">
        <w:tc>
          <w:tcPr>
            <w:tcW w:w="988" w:type="dxa"/>
            <w:vMerge/>
          </w:tcPr>
          <w:p w14:paraId="33C941D6" w14:textId="77777777" w:rsidR="00350287" w:rsidRPr="00CA72A2" w:rsidRDefault="00350287" w:rsidP="0024063E">
            <w:pPr>
              <w:spacing w:line="240" w:lineRule="auto"/>
              <w:ind w:left="33"/>
              <w:jc w:val="center"/>
              <w:rPr>
                <w:rFonts w:asciiTheme="majorHAnsi" w:hAnsiTheme="majorHAnsi"/>
                <w:sz w:val="24"/>
              </w:rPr>
            </w:pPr>
          </w:p>
        </w:tc>
        <w:tc>
          <w:tcPr>
            <w:tcW w:w="1701" w:type="dxa"/>
            <w:vMerge/>
          </w:tcPr>
          <w:p w14:paraId="4AEF7387" w14:textId="77777777" w:rsidR="00350287" w:rsidRPr="00CA72A2" w:rsidRDefault="00350287" w:rsidP="0024063E">
            <w:pPr>
              <w:spacing w:line="240" w:lineRule="auto"/>
              <w:ind w:left="33"/>
              <w:rPr>
                <w:rFonts w:asciiTheme="majorHAnsi" w:hAnsiTheme="majorHAnsi"/>
                <w:b/>
                <w:bCs/>
                <w:sz w:val="24"/>
              </w:rPr>
            </w:pPr>
          </w:p>
        </w:tc>
        <w:tc>
          <w:tcPr>
            <w:tcW w:w="2409" w:type="dxa"/>
          </w:tcPr>
          <w:p w14:paraId="5F2FD224" w14:textId="77777777" w:rsidR="00350287" w:rsidRPr="00CA72A2" w:rsidRDefault="00350287" w:rsidP="00966CA3">
            <w:pPr>
              <w:autoSpaceDE w:val="0"/>
              <w:autoSpaceDN w:val="0"/>
              <w:adjustRightInd w:val="0"/>
              <w:spacing w:line="240" w:lineRule="auto"/>
              <w:ind w:left="33"/>
              <w:jc w:val="left"/>
              <w:rPr>
                <w:rFonts w:asciiTheme="majorHAnsi" w:hAnsiTheme="majorHAnsi"/>
                <w:sz w:val="24"/>
              </w:rPr>
            </w:pPr>
            <w:r w:rsidRPr="00CA72A2">
              <w:rPr>
                <w:rFonts w:asciiTheme="majorHAnsi" w:hAnsiTheme="majorHAnsi"/>
                <w:sz w:val="24"/>
              </w:rPr>
              <w:t>4.4 Banca de Segundo Piso</w:t>
            </w:r>
          </w:p>
        </w:tc>
        <w:tc>
          <w:tcPr>
            <w:tcW w:w="3402" w:type="dxa"/>
          </w:tcPr>
          <w:p w14:paraId="489D8F96" w14:textId="77777777" w:rsidR="00350287" w:rsidRPr="00CA72A2" w:rsidRDefault="00350287" w:rsidP="0024063E">
            <w:pPr>
              <w:autoSpaceDE w:val="0"/>
              <w:autoSpaceDN w:val="0"/>
              <w:adjustRightInd w:val="0"/>
              <w:spacing w:line="240" w:lineRule="auto"/>
              <w:ind w:left="33"/>
              <w:rPr>
                <w:rFonts w:asciiTheme="majorHAnsi" w:hAnsiTheme="majorHAnsi"/>
                <w:sz w:val="24"/>
              </w:rPr>
            </w:pPr>
            <w:r w:rsidRPr="00CA72A2">
              <w:rPr>
                <w:rFonts w:asciiTheme="majorHAnsi" w:hAnsiTheme="majorHAnsi"/>
                <w:sz w:val="24"/>
              </w:rPr>
              <w:t>Financiamiento a entidades</w:t>
            </w:r>
          </w:p>
        </w:tc>
      </w:tr>
      <w:tr w:rsidR="00350287" w:rsidRPr="00CA72A2" w14:paraId="72C224F0" w14:textId="77777777" w:rsidTr="00E237BE">
        <w:tc>
          <w:tcPr>
            <w:tcW w:w="988" w:type="dxa"/>
            <w:vMerge w:val="restart"/>
          </w:tcPr>
          <w:p w14:paraId="3C6A5CA8" w14:textId="77777777" w:rsidR="00350287" w:rsidRPr="00CA72A2" w:rsidRDefault="00350287" w:rsidP="0024063E">
            <w:pPr>
              <w:spacing w:line="240" w:lineRule="auto"/>
              <w:ind w:left="33"/>
              <w:jc w:val="center"/>
              <w:rPr>
                <w:rFonts w:asciiTheme="majorHAnsi" w:hAnsiTheme="majorHAnsi"/>
                <w:sz w:val="24"/>
              </w:rPr>
            </w:pPr>
            <w:r w:rsidRPr="00CA72A2">
              <w:rPr>
                <w:rFonts w:asciiTheme="majorHAnsi" w:hAnsiTheme="majorHAnsi"/>
                <w:sz w:val="24"/>
              </w:rPr>
              <w:t>5</w:t>
            </w:r>
          </w:p>
        </w:tc>
        <w:tc>
          <w:tcPr>
            <w:tcW w:w="1701" w:type="dxa"/>
            <w:vMerge w:val="restart"/>
          </w:tcPr>
          <w:p w14:paraId="5771623C" w14:textId="77777777" w:rsidR="00350287" w:rsidRPr="00CA72A2" w:rsidRDefault="00350287" w:rsidP="0024063E">
            <w:pPr>
              <w:spacing w:line="240" w:lineRule="auto"/>
              <w:ind w:left="33"/>
              <w:jc w:val="center"/>
              <w:rPr>
                <w:rFonts w:asciiTheme="majorHAnsi" w:hAnsiTheme="majorHAnsi"/>
                <w:sz w:val="24"/>
              </w:rPr>
            </w:pPr>
            <w:r w:rsidRPr="00CA72A2">
              <w:rPr>
                <w:rFonts w:asciiTheme="majorHAnsi" w:hAnsiTheme="majorHAnsi"/>
                <w:b/>
                <w:bCs/>
                <w:sz w:val="24"/>
              </w:rPr>
              <w:t>Tarjetas</w:t>
            </w:r>
          </w:p>
        </w:tc>
        <w:tc>
          <w:tcPr>
            <w:tcW w:w="2409" w:type="dxa"/>
          </w:tcPr>
          <w:p w14:paraId="33D28365" w14:textId="77777777" w:rsidR="00350287" w:rsidRPr="00CA72A2" w:rsidRDefault="00350287" w:rsidP="00966CA3">
            <w:pPr>
              <w:autoSpaceDE w:val="0"/>
              <w:autoSpaceDN w:val="0"/>
              <w:adjustRightInd w:val="0"/>
              <w:spacing w:line="240" w:lineRule="auto"/>
              <w:ind w:left="33"/>
              <w:jc w:val="left"/>
              <w:rPr>
                <w:rFonts w:asciiTheme="majorHAnsi" w:hAnsiTheme="majorHAnsi"/>
                <w:sz w:val="24"/>
              </w:rPr>
            </w:pPr>
            <w:r w:rsidRPr="00CA72A2">
              <w:rPr>
                <w:rFonts w:asciiTheme="majorHAnsi" w:hAnsiTheme="majorHAnsi"/>
                <w:sz w:val="24"/>
              </w:rPr>
              <w:t xml:space="preserve">5.1 Tarjetas de crédito y </w:t>
            </w:r>
            <w:r w:rsidRPr="00CA72A2">
              <w:rPr>
                <w:rFonts w:asciiTheme="majorHAnsi" w:eastAsiaTheme="minorEastAsia" w:hAnsiTheme="majorHAnsi"/>
                <w:noProof/>
                <w:sz w:val="24"/>
                <w:lang w:val="es-CR" w:eastAsia="es-CR"/>
              </w:rPr>
              <w:drawing>
                <wp:anchor distT="0" distB="0" distL="114300" distR="114300" simplePos="0" relativeHeight="251661312" behindDoc="0" locked="0" layoutInCell="1" allowOverlap="1" wp14:anchorId="1064246B" wp14:editId="6CD5E540">
                  <wp:simplePos x="0" y="0"/>
                  <wp:positionH relativeFrom="column">
                    <wp:posOffset>-142875</wp:posOffset>
                  </wp:positionH>
                  <wp:positionV relativeFrom="paragraph">
                    <wp:posOffset>22393275</wp:posOffset>
                  </wp:positionV>
                  <wp:extent cx="8258175" cy="14954250"/>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58175" cy="14954250"/>
                          </a:xfrm>
                          <a:prstGeom prst="rect">
                            <a:avLst/>
                          </a:prstGeom>
                          <a:noFill/>
                        </pic:spPr>
                      </pic:pic>
                    </a:graphicData>
                  </a:graphic>
                  <wp14:sizeRelH relativeFrom="page">
                    <wp14:pctWidth>0</wp14:pctWidth>
                  </wp14:sizeRelH>
                  <wp14:sizeRelV relativeFrom="page">
                    <wp14:pctHeight>0</wp14:pctHeight>
                  </wp14:sizeRelV>
                </wp:anchor>
              </w:drawing>
            </w:r>
            <w:r w:rsidRPr="00CA72A2">
              <w:rPr>
                <w:rFonts w:asciiTheme="majorHAnsi" w:hAnsiTheme="majorHAnsi"/>
                <w:sz w:val="24"/>
              </w:rPr>
              <w:t>débito (marcas propias o administradas)</w:t>
            </w:r>
          </w:p>
        </w:tc>
        <w:tc>
          <w:tcPr>
            <w:tcW w:w="3402" w:type="dxa"/>
          </w:tcPr>
          <w:p w14:paraId="2E078D3D" w14:textId="77777777" w:rsidR="00350287" w:rsidRPr="00CA72A2" w:rsidRDefault="00350287" w:rsidP="0024063E">
            <w:pPr>
              <w:autoSpaceDE w:val="0"/>
              <w:autoSpaceDN w:val="0"/>
              <w:adjustRightInd w:val="0"/>
              <w:spacing w:line="240" w:lineRule="auto"/>
              <w:ind w:left="33"/>
              <w:rPr>
                <w:rFonts w:asciiTheme="majorHAnsi" w:hAnsiTheme="majorHAnsi"/>
                <w:sz w:val="24"/>
              </w:rPr>
            </w:pPr>
            <w:r w:rsidRPr="00CA72A2">
              <w:rPr>
                <w:rFonts w:asciiTheme="majorHAnsi" w:hAnsiTheme="majorHAnsi"/>
                <w:sz w:val="24"/>
              </w:rPr>
              <w:t>Actividades y servicios relacionados con tarjetas de crédito o débito, comerciales, corporativas, prepagadas y otras, independientemente del tipo de cliente usuario.</w:t>
            </w:r>
          </w:p>
        </w:tc>
      </w:tr>
      <w:tr w:rsidR="00350287" w:rsidRPr="00CA72A2" w14:paraId="789433C1" w14:textId="77777777" w:rsidTr="00E237BE">
        <w:tc>
          <w:tcPr>
            <w:tcW w:w="988" w:type="dxa"/>
            <w:vMerge/>
          </w:tcPr>
          <w:p w14:paraId="1D100BD8" w14:textId="77777777" w:rsidR="00350287" w:rsidRPr="00CA72A2" w:rsidRDefault="00350287" w:rsidP="0024063E">
            <w:pPr>
              <w:spacing w:line="240" w:lineRule="auto"/>
              <w:ind w:left="33"/>
              <w:jc w:val="center"/>
              <w:rPr>
                <w:rFonts w:asciiTheme="majorHAnsi" w:hAnsiTheme="majorHAnsi"/>
                <w:sz w:val="24"/>
              </w:rPr>
            </w:pPr>
          </w:p>
        </w:tc>
        <w:tc>
          <w:tcPr>
            <w:tcW w:w="1701" w:type="dxa"/>
            <w:vMerge/>
          </w:tcPr>
          <w:p w14:paraId="0BA30C4D" w14:textId="77777777" w:rsidR="00350287" w:rsidRPr="00CA72A2" w:rsidRDefault="00350287" w:rsidP="0024063E">
            <w:pPr>
              <w:spacing w:line="240" w:lineRule="auto"/>
              <w:ind w:left="33"/>
              <w:jc w:val="center"/>
              <w:rPr>
                <w:rFonts w:asciiTheme="majorHAnsi" w:hAnsiTheme="majorHAnsi"/>
                <w:b/>
                <w:bCs/>
                <w:sz w:val="24"/>
              </w:rPr>
            </w:pPr>
          </w:p>
        </w:tc>
        <w:tc>
          <w:tcPr>
            <w:tcW w:w="2409" w:type="dxa"/>
          </w:tcPr>
          <w:p w14:paraId="091BAD9C" w14:textId="77777777" w:rsidR="00350287" w:rsidRPr="00CA72A2" w:rsidRDefault="00350287" w:rsidP="0024063E">
            <w:pPr>
              <w:autoSpaceDE w:val="0"/>
              <w:autoSpaceDN w:val="0"/>
              <w:adjustRightInd w:val="0"/>
              <w:spacing w:line="240" w:lineRule="auto"/>
              <w:ind w:left="33"/>
              <w:rPr>
                <w:rFonts w:asciiTheme="majorHAnsi" w:hAnsiTheme="majorHAnsi"/>
                <w:sz w:val="24"/>
              </w:rPr>
            </w:pPr>
            <w:r w:rsidRPr="00CA72A2">
              <w:rPr>
                <w:rFonts w:asciiTheme="majorHAnsi" w:hAnsiTheme="majorHAnsi"/>
                <w:sz w:val="24"/>
              </w:rPr>
              <w:t>5.2 Administración y adhesión de comercios</w:t>
            </w:r>
          </w:p>
        </w:tc>
        <w:tc>
          <w:tcPr>
            <w:tcW w:w="3402" w:type="dxa"/>
          </w:tcPr>
          <w:p w14:paraId="05DFDFAA" w14:textId="77777777" w:rsidR="00350287" w:rsidRPr="00CA72A2" w:rsidRDefault="00350287" w:rsidP="0024063E">
            <w:pPr>
              <w:autoSpaceDE w:val="0"/>
              <w:autoSpaceDN w:val="0"/>
              <w:adjustRightInd w:val="0"/>
              <w:spacing w:line="240" w:lineRule="auto"/>
              <w:ind w:left="33"/>
              <w:rPr>
                <w:rFonts w:asciiTheme="majorHAnsi" w:hAnsiTheme="majorHAnsi"/>
                <w:sz w:val="24"/>
              </w:rPr>
            </w:pPr>
            <w:r w:rsidRPr="00CA72A2">
              <w:rPr>
                <w:rFonts w:asciiTheme="majorHAnsi" w:hAnsiTheme="majorHAnsi"/>
                <w:sz w:val="24"/>
              </w:rPr>
              <w:t>Actividades y servicios relacionados con administración y adhesión de comercios donde se pueden utilizar las tarjetas.</w:t>
            </w:r>
          </w:p>
        </w:tc>
      </w:tr>
      <w:tr w:rsidR="00350287" w:rsidRPr="00CA72A2" w14:paraId="24D3455C" w14:textId="77777777" w:rsidTr="00E237BE">
        <w:tc>
          <w:tcPr>
            <w:tcW w:w="988" w:type="dxa"/>
          </w:tcPr>
          <w:p w14:paraId="68925963" w14:textId="77777777" w:rsidR="00350287" w:rsidRPr="00CA72A2" w:rsidRDefault="00350287" w:rsidP="0024063E">
            <w:pPr>
              <w:spacing w:line="240" w:lineRule="auto"/>
              <w:ind w:left="33"/>
              <w:jc w:val="center"/>
              <w:rPr>
                <w:rFonts w:asciiTheme="majorHAnsi" w:hAnsiTheme="majorHAnsi"/>
                <w:sz w:val="24"/>
              </w:rPr>
            </w:pPr>
            <w:r w:rsidRPr="00CA72A2">
              <w:rPr>
                <w:rFonts w:asciiTheme="majorHAnsi" w:hAnsiTheme="majorHAnsi"/>
                <w:sz w:val="24"/>
              </w:rPr>
              <w:lastRenderedPageBreak/>
              <w:t>6</w:t>
            </w:r>
          </w:p>
        </w:tc>
        <w:tc>
          <w:tcPr>
            <w:tcW w:w="1701" w:type="dxa"/>
          </w:tcPr>
          <w:p w14:paraId="517C28EB" w14:textId="77777777" w:rsidR="00350287" w:rsidRPr="00CA72A2" w:rsidRDefault="00350287" w:rsidP="0024063E">
            <w:pPr>
              <w:autoSpaceDE w:val="0"/>
              <w:autoSpaceDN w:val="0"/>
              <w:adjustRightInd w:val="0"/>
              <w:spacing w:line="240" w:lineRule="auto"/>
              <w:ind w:left="33"/>
              <w:jc w:val="center"/>
              <w:rPr>
                <w:rFonts w:asciiTheme="majorHAnsi" w:hAnsiTheme="majorHAnsi"/>
                <w:sz w:val="24"/>
              </w:rPr>
            </w:pPr>
            <w:r w:rsidRPr="00CA72A2">
              <w:rPr>
                <w:rFonts w:asciiTheme="majorHAnsi" w:hAnsiTheme="majorHAnsi"/>
                <w:b/>
                <w:bCs/>
                <w:sz w:val="24"/>
              </w:rPr>
              <w:t>Cobros, Pagos y liquidación</w:t>
            </w:r>
          </w:p>
        </w:tc>
        <w:tc>
          <w:tcPr>
            <w:tcW w:w="2409" w:type="dxa"/>
          </w:tcPr>
          <w:p w14:paraId="233AA62D" w14:textId="77777777" w:rsidR="00350287" w:rsidRPr="00CA72A2" w:rsidRDefault="00350287" w:rsidP="0024063E">
            <w:pPr>
              <w:spacing w:line="240" w:lineRule="auto"/>
              <w:ind w:left="33"/>
              <w:rPr>
                <w:rFonts w:asciiTheme="majorHAnsi" w:hAnsiTheme="majorHAnsi"/>
                <w:sz w:val="24"/>
              </w:rPr>
            </w:pPr>
            <w:r w:rsidRPr="00CA72A2">
              <w:rPr>
                <w:rFonts w:asciiTheme="majorHAnsi" w:hAnsiTheme="majorHAnsi"/>
                <w:sz w:val="24"/>
              </w:rPr>
              <w:t>6.1 Cobros, Pagos y liquidación</w:t>
            </w:r>
          </w:p>
        </w:tc>
        <w:tc>
          <w:tcPr>
            <w:tcW w:w="3402" w:type="dxa"/>
          </w:tcPr>
          <w:p w14:paraId="1C05C7EB" w14:textId="77777777" w:rsidR="00350287" w:rsidRPr="00CA72A2" w:rsidRDefault="00350287" w:rsidP="0024063E">
            <w:pPr>
              <w:spacing w:line="240" w:lineRule="auto"/>
              <w:ind w:left="33"/>
              <w:rPr>
                <w:rFonts w:asciiTheme="majorHAnsi" w:hAnsiTheme="majorHAnsi"/>
                <w:sz w:val="24"/>
              </w:rPr>
            </w:pPr>
            <w:r w:rsidRPr="00CA72A2">
              <w:rPr>
                <w:rFonts w:asciiTheme="majorHAnsi" w:hAnsiTheme="majorHAnsi"/>
                <w:sz w:val="24"/>
              </w:rPr>
              <w:t>Servicios de cobranza (recaudaciones en general). Servicios de pagos (a proveedores, compañías de seguro, etc.). Transferencias y compensaciones electrónicas, Pago de planillas, Servicio de remesas y otros.</w:t>
            </w:r>
          </w:p>
        </w:tc>
      </w:tr>
      <w:tr w:rsidR="00350287" w:rsidRPr="00CA72A2" w14:paraId="4D9E4488" w14:textId="77777777" w:rsidTr="00E237BE">
        <w:tc>
          <w:tcPr>
            <w:tcW w:w="988" w:type="dxa"/>
            <w:vMerge w:val="restart"/>
          </w:tcPr>
          <w:p w14:paraId="58189CBB" w14:textId="77777777" w:rsidR="00350287" w:rsidRPr="00CA72A2" w:rsidRDefault="00350287" w:rsidP="0024063E">
            <w:pPr>
              <w:spacing w:line="240" w:lineRule="auto"/>
              <w:ind w:left="33"/>
              <w:jc w:val="center"/>
              <w:rPr>
                <w:rFonts w:asciiTheme="majorHAnsi" w:hAnsiTheme="majorHAnsi"/>
                <w:sz w:val="24"/>
              </w:rPr>
            </w:pPr>
            <w:r w:rsidRPr="00CA72A2">
              <w:rPr>
                <w:rFonts w:asciiTheme="majorHAnsi" w:hAnsiTheme="majorHAnsi"/>
                <w:sz w:val="24"/>
              </w:rPr>
              <w:t>7</w:t>
            </w:r>
          </w:p>
        </w:tc>
        <w:tc>
          <w:tcPr>
            <w:tcW w:w="1701" w:type="dxa"/>
            <w:vMerge w:val="restart"/>
          </w:tcPr>
          <w:p w14:paraId="4341A89F" w14:textId="77777777" w:rsidR="00350287" w:rsidRPr="00CA72A2" w:rsidRDefault="00350287" w:rsidP="0024063E">
            <w:pPr>
              <w:spacing w:line="240" w:lineRule="auto"/>
              <w:ind w:left="33"/>
              <w:jc w:val="center"/>
              <w:rPr>
                <w:rFonts w:asciiTheme="majorHAnsi" w:hAnsiTheme="majorHAnsi"/>
                <w:sz w:val="24"/>
              </w:rPr>
            </w:pPr>
            <w:r w:rsidRPr="00CA72A2">
              <w:rPr>
                <w:rFonts w:asciiTheme="majorHAnsi" w:hAnsiTheme="majorHAnsi"/>
                <w:b/>
                <w:bCs/>
                <w:sz w:val="24"/>
              </w:rPr>
              <w:t>Administración de Activos</w:t>
            </w:r>
          </w:p>
        </w:tc>
        <w:tc>
          <w:tcPr>
            <w:tcW w:w="2409" w:type="dxa"/>
          </w:tcPr>
          <w:p w14:paraId="48EEAAD0" w14:textId="77777777" w:rsidR="00350287" w:rsidRPr="00CA72A2" w:rsidRDefault="00350287" w:rsidP="0024063E">
            <w:pPr>
              <w:autoSpaceDE w:val="0"/>
              <w:autoSpaceDN w:val="0"/>
              <w:adjustRightInd w:val="0"/>
              <w:spacing w:line="240" w:lineRule="auto"/>
              <w:ind w:left="33"/>
              <w:rPr>
                <w:rFonts w:asciiTheme="majorHAnsi" w:hAnsiTheme="majorHAnsi"/>
                <w:sz w:val="24"/>
              </w:rPr>
            </w:pPr>
            <w:r w:rsidRPr="00CA72A2">
              <w:rPr>
                <w:rFonts w:asciiTheme="majorHAnsi" w:hAnsiTheme="majorHAnsi"/>
                <w:sz w:val="24"/>
              </w:rPr>
              <w:t>7.1 Administración de Fondos de Cesantía</w:t>
            </w:r>
          </w:p>
        </w:tc>
        <w:tc>
          <w:tcPr>
            <w:tcW w:w="3402" w:type="dxa"/>
          </w:tcPr>
          <w:p w14:paraId="071BB93E" w14:textId="77777777" w:rsidR="00350287" w:rsidRPr="00CA72A2" w:rsidRDefault="00350287" w:rsidP="0024063E">
            <w:pPr>
              <w:autoSpaceDE w:val="0"/>
              <w:autoSpaceDN w:val="0"/>
              <w:adjustRightInd w:val="0"/>
              <w:spacing w:line="240" w:lineRule="auto"/>
              <w:ind w:left="33"/>
              <w:rPr>
                <w:rFonts w:asciiTheme="majorHAnsi" w:hAnsiTheme="majorHAnsi"/>
                <w:sz w:val="24"/>
              </w:rPr>
            </w:pPr>
            <w:r w:rsidRPr="00CA72A2">
              <w:rPr>
                <w:rFonts w:asciiTheme="majorHAnsi" w:hAnsiTheme="majorHAnsi"/>
                <w:sz w:val="24"/>
              </w:rPr>
              <w:t>Administración de Fondos de Cesantía por parte de Cooperativas.</w:t>
            </w:r>
          </w:p>
        </w:tc>
      </w:tr>
      <w:tr w:rsidR="00350287" w:rsidRPr="00CA72A2" w14:paraId="3DC413EE" w14:textId="77777777" w:rsidTr="00E237BE">
        <w:tc>
          <w:tcPr>
            <w:tcW w:w="988" w:type="dxa"/>
            <w:vMerge/>
          </w:tcPr>
          <w:p w14:paraId="4BB7FA69" w14:textId="77777777" w:rsidR="00350287" w:rsidRPr="00CA72A2" w:rsidRDefault="00350287" w:rsidP="0024063E">
            <w:pPr>
              <w:spacing w:line="240" w:lineRule="auto"/>
              <w:ind w:left="33"/>
              <w:jc w:val="center"/>
              <w:rPr>
                <w:rFonts w:asciiTheme="majorHAnsi" w:hAnsiTheme="majorHAnsi"/>
                <w:sz w:val="24"/>
              </w:rPr>
            </w:pPr>
          </w:p>
        </w:tc>
        <w:tc>
          <w:tcPr>
            <w:tcW w:w="1701" w:type="dxa"/>
            <w:vMerge/>
          </w:tcPr>
          <w:p w14:paraId="6C0E6249" w14:textId="77777777" w:rsidR="00350287" w:rsidRPr="00CA72A2" w:rsidRDefault="00350287" w:rsidP="0024063E">
            <w:pPr>
              <w:spacing w:line="240" w:lineRule="auto"/>
              <w:ind w:left="33"/>
              <w:jc w:val="center"/>
              <w:rPr>
                <w:rFonts w:asciiTheme="majorHAnsi" w:hAnsiTheme="majorHAnsi"/>
                <w:b/>
                <w:bCs/>
                <w:sz w:val="24"/>
              </w:rPr>
            </w:pPr>
          </w:p>
        </w:tc>
        <w:tc>
          <w:tcPr>
            <w:tcW w:w="2409" w:type="dxa"/>
          </w:tcPr>
          <w:p w14:paraId="7EDD8A0B" w14:textId="77777777" w:rsidR="00350287" w:rsidRPr="00CA72A2" w:rsidRDefault="00350287" w:rsidP="0024063E">
            <w:pPr>
              <w:autoSpaceDE w:val="0"/>
              <w:autoSpaceDN w:val="0"/>
              <w:adjustRightInd w:val="0"/>
              <w:spacing w:line="240" w:lineRule="auto"/>
              <w:ind w:left="33"/>
              <w:rPr>
                <w:rFonts w:asciiTheme="majorHAnsi" w:hAnsiTheme="majorHAnsi"/>
                <w:sz w:val="24"/>
              </w:rPr>
            </w:pPr>
            <w:r w:rsidRPr="00CA72A2">
              <w:rPr>
                <w:rFonts w:asciiTheme="majorHAnsi" w:hAnsiTheme="majorHAnsi"/>
                <w:sz w:val="24"/>
              </w:rPr>
              <w:t>7.2 Administración del peaje bancario y otros</w:t>
            </w:r>
          </w:p>
        </w:tc>
        <w:tc>
          <w:tcPr>
            <w:tcW w:w="3402" w:type="dxa"/>
          </w:tcPr>
          <w:p w14:paraId="1405CE32" w14:textId="77777777" w:rsidR="00350287" w:rsidRPr="00CA72A2" w:rsidRDefault="00350287" w:rsidP="0024063E">
            <w:pPr>
              <w:autoSpaceDE w:val="0"/>
              <w:autoSpaceDN w:val="0"/>
              <w:adjustRightInd w:val="0"/>
              <w:spacing w:line="240" w:lineRule="auto"/>
              <w:ind w:left="33"/>
              <w:rPr>
                <w:rFonts w:asciiTheme="majorHAnsi" w:hAnsiTheme="majorHAnsi"/>
                <w:sz w:val="24"/>
              </w:rPr>
            </w:pPr>
            <w:r w:rsidRPr="00CA72A2">
              <w:rPr>
                <w:rFonts w:asciiTheme="majorHAnsi" w:hAnsiTheme="majorHAnsi"/>
                <w:sz w:val="24"/>
              </w:rPr>
              <w:t>Administración del peaje bancario (Artículo 59 de la Ley Orgánica del Sistema Bancario Nacional) y otros.</w:t>
            </w:r>
          </w:p>
        </w:tc>
      </w:tr>
      <w:tr w:rsidR="00350287" w:rsidRPr="00CA72A2" w14:paraId="386E547D" w14:textId="77777777" w:rsidTr="00E237BE">
        <w:tc>
          <w:tcPr>
            <w:tcW w:w="988" w:type="dxa"/>
            <w:vMerge/>
          </w:tcPr>
          <w:p w14:paraId="263D5B0B" w14:textId="77777777" w:rsidR="00350287" w:rsidRPr="00CA72A2" w:rsidRDefault="00350287" w:rsidP="0024063E">
            <w:pPr>
              <w:spacing w:line="240" w:lineRule="auto"/>
              <w:ind w:left="33"/>
              <w:jc w:val="center"/>
              <w:rPr>
                <w:rFonts w:asciiTheme="majorHAnsi" w:hAnsiTheme="majorHAnsi"/>
                <w:sz w:val="24"/>
              </w:rPr>
            </w:pPr>
          </w:p>
        </w:tc>
        <w:tc>
          <w:tcPr>
            <w:tcW w:w="1701" w:type="dxa"/>
            <w:vMerge/>
          </w:tcPr>
          <w:p w14:paraId="1ADA76B6" w14:textId="77777777" w:rsidR="00350287" w:rsidRPr="00CA72A2" w:rsidRDefault="00350287" w:rsidP="0024063E">
            <w:pPr>
              <w:spacing w:line="240" w:lineRule="auto"/>
              <w:ind w:left="33"/>
              <w:jc w:val="center"/>
              <w:rPr>
                <w:rFonts w:asciiTheme="majorHAnsi" w:hAnsiTheme="majorHAnsi"/>
                <w:b/>
                <w:bCs/>
                <w:sz w:val="24"/>
              </w:rPr>
            </w:pPr>
          </w:p>
        </w:tc>
        <w:tc>
          <w:tcPr>
            <w:tcW w:w="2409" w:type="dxa"/>
          </w:tcPr>
          <w:p w14:paraId="4A08E30F" w14:textId="77777777" w:rsidR="00350287" w:rsidRPr="00CA72A2" w:rsidRDefault="00350287" w:rsidP="0024063E">
            <w:pPr>
              <w:autoSpaceDE w:val="0"/>
              <w:autoSpaceDN w:val="0"/>
              <w:adjustRightInd w:val="0"/>
              <w:spacing w:line="240" w:lineRule="auto"/>
              <w:ind w:left="33"/>
              <w:rPr>
                <w:rFonts w:asciiTheme="majorHAnsi" w:hAnsiTheme="majorHAnsi"/>
                <w:sz w:val="24"/>
              </w:rPr>
            </w:pPr>
            <w:r w:rsidRPr="00CA72A2">
              <w:rPr>
                <w:rFonts w:asciiTheme="majorHAnsi" w:hAnsiTheme="majorHAnsi"/>
                <w:sz w:val="24"/>
              </w:rPr>
              <w:t>7.3 Administración de fideicomisos</w:t>
            </w:r>
          </w:p>
        </w:tc>
        <w:tc>
          <w:tcPr>
            <w:tcW w:w="3402" w:type="dxa"/>
          </w:tcPr>
          <w:p w14:paraId="51FB801A" w14:textId="77777777" w:rsidR="00350287" w:rsidRPr="00CA72A2" w:rsidRDefault="00350287" w:rsidP="0024063E">
            <w:pPr>
              <w:autoSpaceDE w:val="0"/>
              <w:autoSpaceDN w:val="0"/>
              <w:adjustRightInd w:val="0"/>
              <w:spacing w:line="240" w:lineRule="auto"/>
              <w:ind w:left="33"/>
              <w:rPr>
                <w:rFonts w:asciiTheme="majorHAnsi" w:hAnsiTheme="majorHAnsi"/>
                <w:sz w:val="24"/>
              </w:rPr>
            </w:pPr>
            <w:r w:rsidRPr="00CA72A2">
              <w:rPr>
                <w:rFonts w:asciiTheme="majorHAnsi" w:hAnsiTheme="majorHAnsi"/>
                <w:sz w:val="24"/>
              </w:rPr>
              <w:t>Servicios por cobranza de las cuotas de los préstamos de la cartera del fideicomiso y pago de los servicios de los títulos de deuda y certificados de participación.</w:t>
            </w:r>
          </w:p>
        </w:tc>
      </w:tr>
      <w:tr w:rsidR="00350287" w:rsidRPr="00CA72A2" w14:paraId="27901E1C" w14:textId="77777777" w:rsidTr="00E237BE">
        <w:tc>
          <w:tcPr>
            <w:tcW w:w="988" w:type="dxa"/>
            <w:vMerge/>
          </w:tcPr>
          <w:p w14:paraId="7BAC2097" w14:textId="77777777" w:rsidR="00350287" w:rsidRPr="00CA72A2" w:rsidRDefault="00350287" w:rsidP="0024063E">
            <w:pPr>
              <w:spacing w:line="240" w:lineRule="auto"/>
              <w:ind w:left="33"/>
              <w:jc w:val="center"/>
              <w:rPr>
                <w:rFonts w:asciiTheme="majorHAnsi" w:hAnsiTheme="majorHAnsi"/>
                <w:sz w:val="24"/>
              </w:rPr>
            </w:pPr>
          </w:p>
        </w:tc>
        <w:tc>
          <w:tcPr>
            <w:tcW w:w="1701" w:type="dxa"/>
            <w:vMerge/>
          </w:tcPr>
          <w:p w14:paraId="156B3140" w14:textId="77777777" w:rsidR="00350287" w:rsidRPr="00CA72A2" w:rsidRDefault="00350287" w:rsidP="0024063E">
            <w:pPr>
              <w:spacing w:line="240" w:lineRule="auto"/>
              <w:ind w:left="33"/>
              <w:jc w:val="center"/>
              <w:rPr>
                <w:rFonts w:asciiTheme="majorHAnsi" w:hAnsiTheme="majorHAnsi"/>
                <w:b/>
                <w:bCs/>
                <w:sz w:val="24"/>
              </w:rPr>
            </w:pPr>
          </w:p>
        </w:tc>
        <w:tc>
          <w:tcPr>
            <w:tcW w:w="2409" w:type="dxa"/>
          </w:tcPr>
          <w:p w14:paraId="4C4D2969" w14:textId="77777777" w:rsidR="00350287" w:rsidRPr="00CA72A2" w:rsidRDefault="00350287" w:rsidP="0024063E">
            <w:pPr>
              <w:autoSpaceDE w:val="0"/>
              <w:autoSpaceDN w:val="0"/>
              <w:adjustRightInd w:val="0"/>
              <w:spacing w:line="240" w:lineRule="auto"/>
              <w:ind w:left="33"/>
              <w:rPr>
                <w:rFonts w:asciiTheme="majorHAnsi" w:hAnsiTheme="majorHAnsi"/>
                <w:sz w:val="24"/>
              </w:rPr>
            </w:pPr>
            <w:r w:rsidRPr="00CA72A2">
              <w:rPr>
                <w:rFonts w:asciiTheme="majorHAnsi" w:hAnsiTheme="majorHAnsi"/>
                <w:sz w:val="24"/>
              </w:rPr>
              <w:t>7.4 Administración de fondos de pensión</w:t>
            </w:r>
          </w:p>
        </w:tc>
        <w:tc>
          <w:tcPr>
            <w:tcW w:w="3402" w:type="dxa"/>
          </w:tcPr>
          <w:p w14:paraId="473A6DB9" w14:textId="77777777" w:rsidR="00350287" w:rsidRPr="00CA72A2" w:rsidRDefault="00350287" w:rsidP="0024063E">
            <w:pPr>
              <w:autoSpaceDE w:val="0"/>
              <w:autoSpaceDN w:val="0"/>
              <w:adjustRightInd w:val="0"/>
              <w:spacing w:line="240" w:lineRule="auto"/>
              <w:ind w:left="33"/>
              <w:rPr>
                <w:rFonts w:asciiTheme="majorHAnsi" w:hAnsiTheme="majorHAnsi"/>
                <w:sz w:val="24"/>
              </w:rPr>
            </w:pPr>
            <w:r w:rsidRPr="00CA72A2">
              <w:rPr>
                <w:rFonts w:asciiTheme="majorHAnsi" w:hAnsiTheme="majorHAnsi"/>
                <w:sz w:val="24"/>
              </w:rPr>
              <w:t>Servicios de inversión de los fondos administrados.</w:t>
            </w:r>
          </w:p>
        </w:tc>
      </w:tr>
      <w:tr w:rsidR="00350287" w:rsidRPr="00CA72A2" w14:paraId="4008EF84" w14:textId="77777777" w:rsidTr="00E237BE">
        <w:tc>
          <w:tcPr>
            <w:tcW w:w="988" w:type="dxa"/>
            <w:vMerge w:val="restart"/>
          </w:tcPr>
          <w:p w14:paraId="5EDFF216" w14:textId="77777777" w:rsidR="00350287" w:rsidRPr="00CA72A2" w:rsidRDefault="00350287" w:rsidP="0024063E">
            <w:pPr>
              <w:spacing w:line="240" w:lineRule="auto"/>
              <w:ind w:left="33"/>
              <w:jc w:val="center"/>
              <w:rPr>
                <w:rFonts w:asciiTheme="majorHAnsi" w:hAnsiTheme="majorHAnsi"/>
                <w:sz w:val="24"/>
              </w:rPr>
            </w:pPr>
            <w:r w:rsidRPr="00CA72A2">
              <w:rPr>
                <w:rFonts w:asciiTheme="majorHAnsi" w:hAnsiTheme="majorHAnsi"/>
                <w:sz w:val="24"/>
              </w:rPr>
              <w:t>8</w:t>
            </w:r>
          </w:p>
        </w:tc>
        <w:tc>
          <w:tcPr>
            <w:tcW w:w="1701" w:type="dxa"/>
            <w:vMerge w:val="restart"/>
          </w:tcPr>
          <w:p w14:paraId="50570EA2" w14:textId="77777777" w:rsidR="00350287" w:rsidRPr="00CA72A2" w:rsidRDefault="00350287" w:rsidP="0024063E">
            <w:pPr>
              <w:spacing w:line="240" w:lineRule="auto"/>
              <w:ind w:left="33"/>
              <w:jc w:val="center"/>
              <w:rPr>
                <w:rFonts w:asciiTheme="majorHAnsi" w:hAnsiTheme="majorHAnsi"/>
                <w:b/>
                <w:bCs/>
                <w:sz w:val="24"/>
              </w:rPr>
            </w:pPr>
            <w:r w:rsidRPr="00CA72A2">
              <w:rPr>
                <w:rFonts w:asciiTheme="majorHAnsi" w:hAnsiTheme="majorHAnsi"/>
                <w:b/>
                <w:bCs/>
                <w:sz w:val="24"/>
              </w:rPr>
              <w:t>Otros servicios</w:t>
            </w:r>
          </w:p>
        </w:tc>
        <w:tc>
          <w:tcPr>
            <w:tcW w:w="2409" w:type="dxa"/>
          </w:tcPr>
          <w:p w14:paraId="36D9321F" w14:textId="77777777" w:rsidR="00350287" w:rsidRPr="00CA72A2" w:rsidRDefault="00350287" w:rsidP="0024063E">
            <w:pPr>
              <w:autoSpaceDE w:val="0"/>
              <w:autoSpaceDN w:val="0"/>
              <w:adjustRightInd w:val="0"/>
              <w:spacing w:line="240" w:lineRule="auto"/>
              <w:ind w:left="33"/>
              <w:rPr>
                <w:rFonts w:asciiTheme="majorHAnsi" w:hAnsiTheme="majorHAnsi"/>
                <w:sz w:val="24"/>
              </w:rPr>
            </w:pPr>
            <w:r w:rsidRPr="00CA72A2">
              <w:rPr>
                <w:rFonts w:asciiTheme="majorHAnsi" w:hAnsiTheme="majorHAnsi"/>
                <w:sz w:val="24"/>
              </w:rPr>
              <w:t>8.1 Custodia</w:t>
            </w:r>
          </w:p>
        </w:tc>
        <w:tc>
          <w:tcPr>
            <w:tcW w:w="3402" w:type="dxa"/>
          </w:tcPr>
          <w:p w14:paraId="45649DDD" w14:textId="77777777" w:rsidR="00350287" w:rsidRPr="00CA72A2" w:rsidRDefault="00350287" w:rsidP="0024063E">
            <w:pPr>
              <w:autoSpaceDE w:val="0"/>
              <w:autoSpaceDN w:val="0"/>
              <w:adjustRightInd w:val="0"/>
              <w:spacing w:line="240" w:lineRule="auto"/>
              <w:ind w:left="33"/>
              <w:rPr>
                <w:rFonts w:asciiTheme="majorHAnsi" w:hAnsiTheme="majorHAnsi"/>
                <w:sz w:val="24"/>
              </w:rPr>
            </w:pPr>
            <w:r w:rsidRPr="00CA72A2">
              <w:rPr>
                <w:rFonts w:asciiTheme="majorHAnsi" w:hAnsiTheme="majorHAnsi"/>
                <w:sz w:val="24"/>
              </w:rPr>
              <w:t xml:space="preserve">Servicios de custodia (efectivo, títulos y acciones, monedas, documentos, etc.). Servicios de custodia en caja de valores. Servicios de caja de seguridad. Servicios </w:t>
            </w:r>
            <w:r w:rsidRPr="00CA72A2">
              <w:rPr>
                <w:rFonts w:asciiTheme="majorHAnsi" w:hAnsiTheme="majorHAnsi"/>
                <w:sz w:val="24"/>
              </w:rPr>
              <w:lastRenderedPageBreak/>
              <w:t>pignoración y consignación. Servicios de Custodia Auxiliares de Numeración (CAN).</w:t>
            </w:r>
          </w:p>
        </w:tc>
      </w:tr>
      <w:tr w:rsidR="00350287" w:rsidRPr="00CA72A2" w14:paraId="3068F47D" w14:textId="77777777" w:rsidTr="00E237BE">
        <w:tc>
          <w:tcPr>
            <w:tcW w:w="988" w:type="dxa"/>
            <w:vMerge/>
          </w:tcPr>
          <w:p w14:paraId="31D978B1" w14:textId="77777777" w:rsidR="00350287" w:rsidRPr="00CA72A2" w:rsidRDefault="00350287" w:rsidP="0024063E">
            <w:pPr>
              <w:spacing w:line="240" w:lineRule="auto"/>
              <w:ind w:left="33"/>
              <w:jc w:val="center"/>
              <w:rPr>
                <w:rFonts w:asciiTheme="majorHAnsi" w:hAnsiTheme="majorHAnsi"/>
                <w:sz w:val="24"/>
              </w:rPr>
            </w:pPr>
          </w:p>
        </w:tc>
        <w:tc>
          <w:tcPr>
            <w:tcW w:w="1701" w:type="dxa"/>
            <w:vMerge/>
          </w:tcPr>
          <w:p w14:paraId="7EF7DAB1" w14:textId="77777777" w:rsidR="00350287" w:rsidRPr="00CA72A2" w:rsidRDefault="00350287" w:rsidP="0024063E">
            <w:pPr>
              <w:spacing w:line="240" w:lineRule="auto"/>
              <w:ind w:left="33"/>
              <w:jc w:val="center"/>
              <w:rPr>
                <w:rFonts w:asciiTheme="majorHAnsi" w:hAnsiTheme="majorHAnsi"/>
                <w:b/>
                <w:bCs/>
                <w:sz w:val="24"/>
              </w:rPr>
            </w:pPr>
          </w:p>
        </w:tc>
        <w:tc>
          <w:tcPr>
            <w:tcW w:w="2409" w:type="dxa"/>
          </w:tcPr>
          <w:p w14:paraId="058DA194" w14:textId="77777777" w:rsidR="00350287" w:rsidRPr="00CA72A2" w:rsidRDefault="00350287" w:rsidP="0024063E">
            <w:pPr>
              <w:spacing w:line="240" w:lineRule="auto"/>
              <w:ind w:left="33"/>
              <w:rPr>
                <w:rFonts w:asciiTheme="majorHAnsi" w:hAnsiTheme="majorHAnsi"/>
                <w:sz w:val="24"/>
              </w:rPr>
            </w:pPr>
            <w:r w:rsidRPr="00CA72A2">
              <w:rPr>
                <w:rFonts w:asciiTheme="majorHAnsi" w:hAnsiTheme="majorHAnsi"/>
                <w:sz w:val="24"/>
              </w:rPr>
              <w:t>8.2 Comercialización de Seguros autoexpedibles</w:t>
            </w:r>
          </w:p>
        </w:tc>
        <w:tc>
          <w:tcPr>
            <w:tcW w:w="3402" w:type="dxa"/>
          </w:tcPr>
          <w:p w14:paraId="257C6630" w14:textId="77777777" w:rsidR="00350287" w:rsidRPr="00CA72A2" w:rsidRDefault="00350287" w:rsidP="0024063E">
            <w:pPr>
              <w:autoSpaceDE w:val="0"/>
              <w:autoSpaceDN w:val="0"/>
              <w:adjustRightInd w:val="0"/>
              <w:spacing w:line="240" w:lineRule="auto"/>
              <w:ind w:left="33"/>
              <w:rPr>
                <w:rFonts w:asciiTheme="majorHAnsi" w:hAnsiTheme="majorHAnsi"/>
                <w:sz w:val="24"/>
              </w:rPr>
            </w:pPr>
            <w:r w:rsidRPr="00CA72A2">
              <w:rPr>
                <w:rFonts w:asciiTheme="majorHAnsi" w:hAnsiTheme="majorHAnsi"/>
                <w:sz w:val="24"/>
              </w:rPr>
              <w:t>Comercialización de seguros autoexpedibles (venta de seguros individuos, hogar, automotor, entre otros),</w:t>
            </w:r>
          </w:p>
        </w:tc>
      </w:tr>
      <w:tr w:rsidR="00350287" w:rsidRPr="00CA72A2" w14:paraId="4CCB7FFC" w14:textId="77777777" w:rsidTr="00E237BE">
        <w:tc>
          <w:tcPr>
            <w:tcW w:w="988" w:type="dxa"/>
            <w:vMerge/>
          </w:tcPr>
          <w:p w14:paraId="457829F7" w14:textId="77777777" w:rsidR="00350287" w:rsidRPr="00CA72A2" w:rsidRDefault="00350287" w:rsidP="0024063E">
            <w:pPr>
              <w:spacing w:line="240" w:lineRule="auto"/>
              <w:ind w:left="33"/>
              <w:jc w:val="center"/>
              <w:rPr>
                <w:rFonts w:asciiTheme="majorHAnsi" w:hAnsiTheme="majorHAnsi"/>
                <w:sz w:val="24"/>
              </w:rPr>
            </w:pPr>
          </w:p>
        </w:tc>
        <w:tc>
          <w:tcPr>
            <w:tcW w:w="1701" w:type="dxa"/>
            <w:vMerge/>
          </w:tcPr>
          <w:p w14:paraId="2DEEB84E" w14:textId="77777777" w:rsidR="00350287" w:rsidRPr="00CA72A2" w:rsidRDefault="00350287" w:rsidP="0024063E">
            <w:pPr>
              <w:spacing w:line="240" w:lineRule="auto"/>
              <w:ind w:left="33"/>
              <w:jc w:val="center"/>
              <w:rPr>
                <w:rFonts w:asciiTheme="majorHAnsi" w:hAnsiTheme="majorHAnsi"/>
                <w:b/>
                <w:bCs/>
                <w:sz w:val="24"/>
              </w:rPr>
            </w:pPr>
          </w:p>
        </w:tc>
        <w:tc>
          <w:tcPr>
            <w:tcW w:w="2409" w:type="dxa"/>
          </w:tcPr>
          <w:p w14:paraId="3A215E6E" w14:textId="77777777" w:rsidR="00350287" w:rsidRPr="00CA72A2" w:rsidRDefault="00350287" w:rsidP="0024063E">
            <w:pPr>
              <w:spacing w:line="240" w:lineRule="auto"/>
              <w:ind w:left="33"/>
              <w:rPr>
                <w:rFonts w:asciiTheme="majorHAnsi" w:hAnsiTheme="majorHAnsi"/>
                <w:sz w:val="24"/>
              </w:rPr>
            </w:pPr>
            <w:r w:rsidRPr="00CA72A2">
              <w:rPr>
                <w:rFonts w:asciiTheme="majorHAnsi" w:hAnsiTheme="majorHAnsi"/>
                <w:sz w:val="24"/>
              </w:rPr>
              <w:t>8.3 Tecnología de información y comunicación</w:t>
            </w:r>
          </w:p>
          <w:p w14:paraId="2D30707D" w14:textId="77777777" w:rsidR="00350287" w:rsidRPr="00CA72A2" w:rsidRDefault="00350287" w:rsidP="0024063E">
            <w:pPr>
              <w:spacing w:line="240" w:lineRule="auto"/>
              <w:ind w:left="33"/>
              <w:rPr>
                <w:rFonts w:asciiTheme="majorHAnsi" w:hAnsiTheme="majorHAnsi"/>
                <w:sz w:val="24"/>
              </w:rPr>
            </w:pPr>
            <w:r w:rsidRPr="00CA72A2">
              <w:rPr>
                <w:rFonts w:asciiTheme="majorHAnsi" w:hAnsiTheme="majorHAnsi"/>
                <w:sz w:val="24"/>
              </w:rPr>
              <w:t>8.4 Cambios y transformaciones organizacionales</w:t>
            </w:r>
          </w:p>
          <w:p w14:paraId="36582CAC" w14:textId="77777777" w:rsidR="00350287" w:rsidRPr="00CA72A2" w:rsidRDefault="00350287" w:rsidP="0024063E">
            <w:pPr>
              <w:spacing w:line="240" w:lineRule="auto"/>
              <w:ind w:left="33"/>
              <w:rPr>
                <w:rFonts w:asciiTheme="majorHAnsi" w:hAnsiTheme="majorHAnsi"/>
                <w:sz w:val="24"/>
              </w:rPr>
            </w:pPr>
            <w:r w:rsidRPr="00CA72A2">
              <w:rPr>
                <w:rFonts w:asciiTheme="majorHAnsi" w:hAnsiTheme="majorHAnsi"/>
                <w:sz w:val="24"/>
              </w:rPr>
              <w:t>8.5 Otros procesos transversales a la organización</w:t>
            </w:r>
          </w:p>
        </w:tc>
        <w:tc>
          <w:tcPr>
            <w:tcW w:w="3402" w:type="dxa"/>
          </w:tcPr>
          <w:p w14:paraId="6FB6A457" w14:textId="77777777" w:rsidR="00350287" w:rsidRPr="00CA72A2" w:rsidRDefault="00350287" w:rsidP="0024063E">
            <w:pPr>
              <w:autoSpaceDE w:val="0"/>
              <w:autoSpaceDN w:val="0"/>
              <w:adjustRightInd w:val="0"/>
              <w:spacing w:line="240" w:lineRule="auto"/>
              <w:ind w:left="33"/>
              <w:rPr>
                <w:rFonts w:asciiTheme="majorHAnsi" w:hAnsiTheme="majorHAnsi"/>
                <w:sz w:val="24"/>
              </w:rPr>
            </w:pPr>
          </w:p>
        </w:tc>
      </w:tr>
    </w:tbl>
    <w:p w14:paraId="35F9D36B" w14:textId="66693E53" w:rsidR="00350287" w:rsidRPr="00CA72A2" w:rsidRDefault="00350287" w:rsidP="00350287">
      <w:pPr>
        <w:spacing w:line="240" w:lineRule="auto"/>
        <w:rPr>
          <w:rFonts w:asciiTheme="majorHAnsi" w:hAnsiTheme="majorHAnsi"/>
          <w:sz w:val="24"/>
        </w:rPr>
      </w:pPr>
    </w:p>
    <w:p w14:paraId="4C3086CA" w14:textId="77777777" w:rsidR="00350287" w:rsidRPr="00CA72A2" w:rsidRDefault="00350287" w:rsidP="00350287">
      <w:pPr>
        <w:widowControl w:val="0"/>
        <w:tabs>
          <w:tab w:val="left" w:pos="142"/>
        </w:tabs>
        <w:spacing w:line="240" w:lineRule="auto"/>
        <w:ind w:left="33"/>
        <w:rPr>
          <w:rFonts w:asciiTheme="majorHAnsi" w:hAnsiTheme="majorHAnsi"/>
          <w:sz w:val="24"/>
        </w:rPr>
      </w:pPr>
      <w:r w:rsidRPr="00CA72A2">
        <w:rPr>
          <w:rFonts w:asciiTheme="majorHAnsi" w:hAnsiTheme="majorHAnsi"/>
          <w:sz w:val="24"/>
        </w:rPr>
        <w:t>De seguido se presentan orientaciones generales para la asignación de las líneas de negocio:</w:t>
      </w:r>
    </w:p>
    <w:p w14:paraId="7CAFC1D4" w14:textId="77777777" w:rsidR="00350287" w:rsidRPr="00CA72A2" w:rsidRDefault="00350287" w:rsidP="00350287">
      <w:pPr>
        <w:widowControl w:val="0"/>
        <w:tabs>
          <w:tab w:val="left" w:pos="142"/>
        </w:tabs>
        <w:spacing w:line="240" w:lineRule="auto"/>
        <w:ind w:left="33"/>
        <w:rPr>
          <w:rFonts w:asciiTheme="majorHAnsi" w:hAnsiTheme="majorHAnsi"/>
          <w:sz w:val="24"/>
        </w:rPr>
      </w:pPr>
    </w:p>
    <w:p w14:paraId="7DABE908" w14:textId="77777777" w:rsidR="00350287" w:rsidRPr="00CA72A2" w:rsidRDefault="00350287" w:rsidP="00350287">
      <w:pPr>
        <w:pStyle w:val="Prrafodelista"/>
        <w:widowControl w:val="0"/>
        <w:numPr>
          <w:ilvl w:val="0"/>
          <w:numId w:val="16"/>
        </w:numPr>
        <w:spacing w:after="0" w:line="240" w:lineRule="auto"/>
        <w:ind w:left="567" w:hanging="567"/>
        <w:jc w:val="both"/>
        <w:rPr>
          <w:rFonts w:asciiTheme="majorHAnsi" w:hAnsiTheme="majorHAnsi"/>
          <w:sz w:val="24"/>
          <w:szCs w:val="24"/>
        </w:rPr>
      </w:pPr>
      <w:r w:rsidRPr="00CA72A2">
        <w:rPr>
          <w:rFonts w:asciiTheme="majorHAnsi" w:hAnsiTheme="majorHAnsi"/>
          <w:sz w:val="24"/>
          <w:szCs w:val="24"/>
        </w:rPr>
        <w:t xml:space="preserve">La entidad, cuando sea pertinente, puede desagregar sus líneas de negocio a subcategorías de actividades que desarrolla y que sean particulares a su giro de negocio o naturaleza, dicha desagregación constituye el nivel 3 y debe mantener la secuencia numérica dispuesta. Por ejemplo, para la línea 5 “Tarjetas” es posible que exista  la necesidad de identificar los eventos de riesgo por separado, según los tipos de tarjeta, en tal caso, el ajuste consiste en abrir un tercer nivel como se ilustra: </w:t>
      </w:r>
    </w:p>
    <w:p w14:paraId="4717E466" w14:textId="77777777" w:rsidR="00350287" w:rsidRPr="00CA72A2" w:rsidRDefault="00350287" w:rsidP="00350287">
      <w:pPr>
        <w:pStyle w:val="Prrafodelista"/>
        <w:widowControl w:val="0"/>
        <w:spacing w:after="0" w:line="240" w:lineRule="auto"/>
        <w:ind w:left="33"/>
        <w:jc w:val="both"/>
        <w:rPr>
          <w:rFonts w:asciiTheme="majorHAnsi" w:hAnsiTheme="majorHAnsi"/>
          <w:sz w:val="24"/>
          <w:szCs w:val="24"/>
        </w:rPr>
      </w:pPr>
    </w:p>
    <w:tbl>
      <w:tblPr>
        <w:tblStyle w:val="Cuadrculadetablaclara"/>
        <w:tblW w:w="8926" w:type="dxa"/>
        <w:tblLayout w:type="fixed"/>
        <w:tblLook w:val="04A0" w:firstRow="1" w:lastRow="0" w:firstColumn="1" w:lastColumn="0" w:noHBand="0" w:noVBand="1"/>
      </w:tblPr>
      <w:tblGrid>
        <w:gridCol w:w="846"/>
        <w:gridCol w:w="1559"/>
        <w:gridCol w:w="2693"/>
        <w:gridCol w:w="3828"/>
      </w:tblGrid>
      <w:tr w:rsidR="00350287" w:rsidRPr="00CA72A2" w14:paraId="74DC1EBB" w14:textId="77777777" w:rsidTr="00E237BE">
        <w:tc>
          <w:tcPr>
            <w:tcW w:w="846" w:type="dxa"/>
            <w:vMerge w:val="restart"/>
          </w:tcPr>
          <w:p w14:paraId="7AA1E6B5" w14:textId="77777777" w:rsidR="00350287" w:rsidRPr="00CA72A2" w:rsidRDefault="00350287" w:rsidP="0024063E">
            <w:pPr>
              <w:spacing w:line="240" w:lineRule="auto"/>
              <w:ind w:left="33"/>
              <w:jc w:val="center"/>
              <w:rPr>
                <w:rFonts w:asciiTheme="majorHAnsi" w:hAnsiTheme="majorHAnsi"/>
                <w:sz w:val="24"/>
              </w:rPr>
            </w:pPr>
            <w:r w:rsidRPr="00CA72A2">
              <w:rPr>
                <w:rFonts w:asciiTheme="majorHAnsi" w:hAnsiTheme="majorHAnsi"/>
                <w:sz w:val="24"/>
              </w:rPr>
              <w:lastRenderedPageBreak/>
              <w:t>5</w:t>
            </w:r>
          </w:p>
        </w:tc>
        <w:tc>
          <w:tcPr>
            <w:tcW w:w="1559" w:type="dxa"/>
            <w:vMerge w:val="restart"/>
          </w:tcPr>
          <w:p w14:paraId="301C9CCD" w14:textId="77777777" w:rsidR="00350287" w:rsidRPr="00CA72A2" w:rsidRDefault="00350287" w:rsidP="0024063E">
            <w:pPr>
              <w:spacing w:line="240" w:lineRule="auto"/>
              <w:ind w:left="33"/>
              <w:jc w:val="center"/>
              <w:rPr>
                <w:rFonts w:asciiTheme="majorHAnsi" w:hAnsiTheme="majorHAnsi"/>
                <w:sz w:val="24"/>
              </w:rPr>
            </w:pPr>
            <w:r w:rsidRPr="00CA72A2">
              <w:rPr>
                <w:rFonts w:asciiTheme="majorHAnsi" w:hAnsiTheme="majorHAnsi"/>
                <w:b/>
                <w:bCs/>
                <w:sz w:val="24"/>
              </w:rPr>
              <w:t>Tarjetas</w:t>
            </w:r>
          </w:p>
        </w:tc>
        <w:tc>
          <w:tcPr>
            <w:tcW w:w="2693" w:type="dxa"/>
            <w:vMerge w:val="restart"/>
          </w:tcPr>
          <w:p w14:paraId="54B81F71" w14:textId="77777777" w:rsidR="00350287" w:rsidRPr="00CA72A2" w:rsidRDefault="00350287" w:rsidP="0024063E">
            <w:pPr>
              <w:autoSpaceDE w:val="0"/>
              <w:autoSpaceDN w:val="0"/>
              <w:adjustRightInd w:val="0"/>
              <w:spacing w:line="240" w:lineRule="auto"/>
              <w:ind w:left="33"/>
              <w:rPr>
                <w:rFonts w:asciiTheme="majorHAnsi" w:hAnsiTheme="majorHAnsi"/>
                <w:sz w:val="24"/>
              </w:rPr>
            </w:pPr>
            <w:r w:rsidRPr="00CA72A2">
              <w:rPr>
                <w:rFonts w:asciiTheme="majorHAnsi" w:hAnsiTheme="majorHAnsi"/>
                <w:sz w:val="24"/>
              </w:rPr>
              <w:t xml:space="preserve">5.1 Tarjetas de crédito y </w:t>
            </w:r>
            <w:r w:rsidRPr="00CA72A2">
              <w:rPr>
                <w:rFonts w:asciiTheme="majorHAnsi" w:eastAsiaTheme="minorEastAsia" w:hAnsiTheme="majorHAnsi"/>
                <w:noProof/>
                <w:sz w:val="24"/>
                <w:lang w:val="es-CR" w:eastAsia="es-CR"/>
              </w:rPr>
              <w:drawing>
                <wp:anchor distT="0" distB="0" distL="114300" distR="114300" simplePos="0" relativeHeight="251662336" behindDoc="0" locked="0" layoutInCell="1" allowOverlap="1" wp14:anchorId="64C8B3EC" wp14:editId="02AB3F54">
                  <wp:simplePos x="0" y="0"/>
                  <wp:positionH relativeFrom="column">
                    <wp:posOffset>-142875</wp:posOffset>
                  </wp:positionH>
                  <wp:positionV relativeFrom="paragraph">
                    <wp:posOffset>22393275</wp:posOffset>
                  </wp:positionV>
                  <wp:extent cx="8258175" cy="14954250"/>
                  <wp:effectExtent l="0" t="0" r="952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58175" cy="14954250"/>
                          </a:xfrm>
                          <a:prstGeom prst="rect">
                            <a:avLst/>
                          </a:prstGeom>
                          <a:noFill/>
                        </pic:spPr>
                      </pic:pic>
                    </a:graphicData>
                  </a:graphic>
                  <wp14:sizeRelH relativeFrom="page">
                    <wp14:pctWidth>0</wp14:pctWidth>
                  </wp14:sizeRelH>
                  <wp14:sizeRelV relativeFrom="page">
                    <wp14:pctHeight>0</wp14:pctHeight>
                  </wp14:sizeRelV>
                </wp:anchor>
              </w:drawing>
            </w:r>
            <w:r w:rsidRPr="00CA72A2">
              <w:rPr>
                <w:rFonts w:asciiTheme="majorHAnsi" w:hAnsiTheme="majorHAnsi"/>
                <w:sz w:val="24"/>
              </w:rPr>
              <w:t>débito (marcas propias o administradas)</w:t>
            </w:r>
          </w:p>
        </w:tc>
        <w:tc>
          <w:tcPr>
            <w:tcW w:w="3828" w:type="dxa"/>
          </w:tcPr>
          <w:p w14:paraId="369B0A04" w14:textId="77777777" w:rsidR="00350287" w:rsidRPr="00CA72A2" w:rsidRDefault="00350287" w:rsidP="0024063E">
            <w:pPr>
              <w:autoSpaceDE w:val="0"/>
              <w:autoSpaceDN w:val="0"/>
              <w:adjustRightInd w:val="0"/>
              <w:spacing w:line="240" w:lineRule="auto"/>
              <w:ind w:left="33"/>
              <w:rPr>
                <w:rFonts w:asciiTheme="majorHAnsi" w:hAnsiTheme="majorHAnsi"/>
                <w:sz w:val="24"/>
              </w:rPr>
            </w:pPr>
            <w:r w:rsidRPr="00CA72A2">
              <w:rPr>
                <w:rFonts w:asciiTheme="majorHAnsi" w:hAnsiTheme="majorHAnsi"/>
                <w:sz w:val="24"/>
              </w:rPr>
              <w:t>5.1.1 Tarjeta de crédito</w:t>
            </w:r>
          </w:p>
        </w:tc>
      </w:tr>
      <w:tr w:rsidR="00350287" w:rsidRPr="00CA72A2" w14:paraId="530DADA6" w14:textId="77777777" w:rsidTr="00E237BE">
        <w:tc>
          <w:tcPr>
            <w:tcW w:w="846" w:type="dxa"/>
            <w:vMerge/>
          </w:tcPr>
          <w:p w14:paraId="3B93DFA0" w14:textId="77777777" w:rsidR="00350287" w:rsidRPr="00CA72A2" w:rsidRDefault="00350287" w:rsidP="0024063E">
            <w:pPr>
              <w:spacing w:line="240" w:lineRule="auto"/>
              <w:ind w:left="33"/>
              <w:jc w:val="center"/>
              <w:rPr>
                <w:rFonts w:asciiTheme="majorHAnsi" w:hAnsiTheme="majorHAnsi"/>
                <w:sz w:val="24"/>
              </w:rPr>
            </w:pPr>
          </w:p>
        </w:tc>
        <w:tc>
          <w:tcPr>
            <w:tcW w:w="1559" w:type="dxa"/>
            <w:vMerge/>
          </w:tcPr>
          <w:p w14:paraId="32F6C1FC" w14:textId="77777777" w:rsidR="00350287" w:rsidRPr="00CA72A2" w:rsidRDefault="00350287" w:rsidP="0024063E">
            <w:pPr>
              <w:spacing w:line="240" w:lineRule="auto"/>
              <w:ind w:left="33"/>
              <w:jc w:val="center"/>
              <w:rPr>
                <w:rFonts w:asciiTheme="majorHAnsi" w:hAnsiTheme="majorHAnsi"/>
                <w:b/>
                <w:bCs/>
                <w:sz w:val="24"/>
              </w:rPr>
            </w:pPr>
          </w:p>
        </w:tc>
        <w:tc>
          <w:tcPr>
            <w:tcW w:w="2693" w:type="dxa"/>
            <w:vMerge/>
          </w:tcPr>
          <w:p w14:paraId="3F7CB79D" w14:textId="77777777" w:rsidR="00350287" w:rsidRPr="00CA72A2" w:rsidRDefault="00350287" w:rsidP="0024063E">
            <w:pPr>
              <w:autoSpaceDE w:val="0"/>
              <w:autoSpaceDN w:val="0"/>
              <w:adjustRightInd w:val="0"/>
              <w:spacing w:line="240" w:lineRule="auto"/>
              <w:ind w:left="33"/>
              <w:rPr>
                <w:rFonts w:asciiTheme="majorHAnsi" w:hAnsiTheme="majorHAnsi"/>
                <w:sz w:val="24"/>
              </w:rPr>
            </w:pPr>
          </w:p>
        </w:tc>
        <w:tc>
          <w:tcPr>
            <w:tcW w:w="3828" w:type="dxa"/>
          </w:tcPr>
          <w:p w14:paraId="2E9CDE6C" w14:textId="77777777" w:rsidR="00350287" w:rsidRPr="00CA72A2" w:rsidRDefault="00350287" w:rsidP="0024063E">
            <w:pPr>
              <w:autoSpaceDE w:val="0"/>
              <w:autoSpaceDN w:val="0"/>
              <w:adjustRightInd w:val="0"/>
              <w:spacing w:line="240" w:lineRule="auto"/>
              <w:ind w:left="33"/>
              <w:rPr>
                <w:rFonts w:asciiTheme="majorHAnsi" w:hAnsiTheme="majorHAnsi"/>
                <w:sz w:val="24"/>
              </w:rPr>
            </w:pPr>
            <w:r w:rsidRPr="00CA72A2">
              <w:rPr>
                <w:rFonts w:asciiTheme="majorHAnsi" w:hAnsiTheme="majorHAnsi"/>
                <w:sz w:val="24"/>
              </w:rPr>
              <w:t>5.1.2 Tarjeta de débito</w:t>
            </w:r>
          </w:p>
        </w:tc>
      </w:tr>
    </w:tbl>
    <w:p w14:paraId="4ECBA008" w14:textId="77777777" w:rsidR="00350287" w:rsidRPr="00CA72A2" w:rsidRDefault="00350287" w:rsidP="00350287">
      <w:pPr>
        <w:pStyle w:val="Prrafodelista"/>
        <w:widowControl w:val="0"/>
        <w:spacing w:after="0" w:line="240" w:lineRule="auto"/>
        <w:ind w:left="33"/>
        <w:jc w:val="both"/>
        <w:rPr>
          <w:rFonts w:asciiTheme="majorHAnsi" w:hAnsiTheme="majorHAnsi"/>
          <w:sz w:val="24"/>
          <w:szCs w:val="24"/>
          <w:lang w:val="es-ES"/>
        </w:rPr>
      </w:pPr>
    </w:p>
    <w:p w14:paraId="74C72DDE" w14:textId="77777777" w:rsidR="00350287" w:rsidRPr="00CA72A2" w:rsidRDefault="00350287" w:rsidP="00350287">
      <w:pPr>
        <w:pStyle w:val="Prrafodelista"/>
        <w:widowControl w:val="0"/>
        <w:numPr>
          <w:ilvl w:val="0"/>
          <w:numId w:val="17"/>
        </w:numPr>
        <w:spacing w:after="0" w:line="240" w:lineRule="auto"/>
        <w:ind w:left="567" w:hanging="534"/>
        <w:jc w:val="both"/>
        <w:rPr>
          <w:rFonts w:asciiTheme="majorHAnsi" w:hAnsiTheme="majorHAnsi"/>
          <w:sz w:val="24"/>
          <w:szCs w:val="24"/>
        </w:rPr>
      </w:pPr>
      <w:r w:rsidRPr="00CA72A2">
        <w:rPr>
          <w:rFonts w:asciiTheme="majorHAnsi" w:hAnsiTheme="majorHAnsi"/>
          <w:sz w:val="24"/>
          <w:szCs w:val="24"/>
        </w:rPr>
        <w:t xml:space="preserve">Cualquier actividad que no pueda asignarse con facilidad a las líneas de negocio, pero que representa una función auxiliar a una actividad incluida en el nivel 2, debe ser asignada a la línea de negocio en que se ubica dicha actividad principal. </w:t>
      </w:r>
    </w:p>
    <w:p w14:paraId="100AAE99" w14:textId="77777777" w:rsidR="00C051E5" w:rsidRPr="00CA72A2" w:rsidRDefault="00C051E5" w:rsidP="00C051E5">
      <w:pPr>
        <w:pStyle w:val="Prrafodelista"/>
        <w:widowControl w:val="0"/>
        <w:spacing w:after="0" w:line="240" w:lineRule="auto"/>
        <w:ind w:left="567"/>
        <w:jc w:val="both"/>
        <w:rPr>
          <w:rFonts w:asciiTheme="majorHAnsi" w:hAnsiTheme="majorHAnsi"/>
          <w:sz w:val="24"/>
          <w:szCs w:val="24"/>
        </w:rPr>
      </w:pPr>
    </w:p>
    <w:p w14:paraId="18378B1F" w14:textId="77777777" w:rsidR="00350287" w:rsidRPr="00CA72A2" w:rsidRDefault="00350287" w:rsidP="00350287">
      <w:pPr>
        <w:pStyle w:val="Prrafodelista"/>
        <w:widowControl w:val="0"/>
        <w:numPr>
          <w:ilvl w:val="0"/>
          <w:numId w:val="17"/>
        </w:numPr>
        <w:spacing w:after="0" w:line="240" w:lineRule="auto"/>
        <w:ind w:left="567" w:hanging="534"/>
        <w:jc w:val="both"/>
        <w:rPr>
          <w:rFonts w:asciiTheme="majorHAnsi" w:hAnsiTheme="majorHAnsi"/>
          <w:sz w:val="24"/>
          <w:szCs w:val="24"/>
        </w:rPr>
      </w:pPr>
      <w:r w:rsidRPr="00CA72A2">
        <w:rPr>
          <w:rFonts w:asciiTheme="majorHAnsi" w:hAnsiTheme="majorHAnsi"/>
          <w:sz w:val="24"/>
          <w:szCs w:val="24"/>
        </w:rPr>
        <w:t>Si una actividad auxiliar presta apoyo a más de una línea de negocio, debe utilizarse un criterio de asignación objetivo.</w:t>
      </w:r>
    </w:p>
    <w:p w14:paraId="4EFDBE2D" w14:textId="1FC390E3" w:rsidR="00C051E5" w:rsidRPr="00CA72A2" w:rsidRDefault="00C051E5" w:rsidP="00C051E5">
      <w:pPr>
        <w:pStyle w:val="Prrafodelista"/>
        <w:rPr>
          <w:rFonts w:asciiTheme="majorHAnsi" w:hAnsiTheme="majorHAnsi"/>
          <w:sz w:val="24"/>
          <w:szCs w:val="24"/>
        </w:rPr>
      </w:pPr>
    </w:p>
    <w:p w14:paraId="25E0E647" w14:textId="77777777" w:rsidR="00350287" w:rsidRPr="00CA72A2" w:rsidRDefault="00350287" w:rsidP="00350287">
      <w:pPr>
        <w:pStyle w:val="Prrafodelista"/>
        <w:widowControl w:val="0"/>
        <w:numPr>
          <w:ilvl w:val="0"/>
          <w:numId w:val="17"/>
        </w:numPr>
        <w:spacing w:after="0" w:line="240" w:lineRule="auto"/>
        <w:ind w:left="567" w:hanging="534"/>
        <w:jc w:val="both"/>
        <w:rPr>
          <w:rFonts w:asciiTheme="majorHAnsi" w:hAnsiTheme="majorHAnsi"/>
          <w:sz w:val="24"/>
          <w:szCs w:val="24"/>
        </w:rPr>
      </w:pPr>
      <w:r w:rsidRPr="00CA72A2">
        <w:rPr>
          <w:rFonts w:asciiTheme="majorHAnsi" w:hAnsiTheme="majorHAnsi"/>
          <w:sz w:val="24"/>
          <w:szCs w:val="24"/>
        </w:rPr>
        <w:t>El nivel de desagregación del nivel 3 debe permitir a la entidad asignar e imputar de forma razonable los eventos de riesgo, tal condición implica que la Administración Superior de la entidad deba establecer un proceso para definir la asignación de nuevas actividades o productos.</w:t>
      </w:r>
    </w:p>
    <w:p w14:paraId="5DC19D4D" w14:textId="65D87AEE" w:rsidR="00C051E5" w:rsidRPr="00CA72A2" w:rsidRDefault="00C051E5" w:rsidP="00C051E5">
      <w:pPr>
        <w:pStyle w:val="Prrafodelista"/>
        <w:rPr>
          <w:rFonts w:asciiTheme="majorHAnsi" w:hAnsiTheme="majorHAnsi"/>
          <w:sz w:val="24"/>
          <w:szCs w:val="24"/>
        </w:rPr>
      </w:pPr>
    </w:p>
    <w:p w14:paraId="3FEEE63E" w14:textId="77777777" w:rsidR="00350287" w:rsidRPr="00CA72A2" w:rsidRDefault="00350287" w:rsidP="00350287">
      <w:pPr>
        <w:pStyle w:val="Prrafodelista"/>
        <w:widowControl w:val="0"/>
        <w:numPr>
          <w:ilvl w:val="0"/>
          <w:numId w:val="17"/>
        </w:numPr>
        <w:spacing w:after="0" w:line="240" w:lineRule="auto"/>
        <w:ind w:left="567" w:hanging="534"/>
        <w:jc w:val="both"/>
        <w:rPr>
          <w:rFonts w:asciiTheme="majorHAnsi" w:hAnsiTheme="majorHAnsi"/>
          <w:sz w:val="24"/>
          <w:szCs w:val="24"/>
        </w:rPr>
      </w:pPr>
      <w:r w:rsidRPr="00CA72A2">
        <w:rPr>
          <w:rFonts w:asciiTheme="majorHAnsi" w:hAnsiTheme="majorHAnsi"/>
          <w:sz w:val="24"/>
          <w:szCs w:val="24"/>
        </w:rPr>
        <w:t xml:space="preserve">La segregación de nivel 3 debe mantener un registro descriptivo que permita comprender claramente el tipo de actividades que involucra, de manera tal que limite la posibilidad de duplicación y que facilite la asignación de nuevas actividades o productos. </w:t>
      </w:r>
    </w:p>
    <w:p w14:paraId="4B03B80F" w14:textId="77777777" w:rsidR="00350287" w:rsidRPr="00CA72A2" w:rsidRDefault="00350287" w:rsidP="00350287">
      <w:pPr>
        <w:widowControl w:val="0"/>
        <w:spacing w:line="240" w:lineRule="auto"/>
        <w:rPr>
          <w:rFonts w:asciiTheme="majorHAnsi" w:hAnsiTheme="majorHAnsi"/>
          <w:sz w:val="24"/>
        </w:rPr>
      </w:pPr>
    </w:p>
    <w:p w14:paraId="68B8E1A0" w14:textId="77777777" w:rsidR="00350287" w:rsidRPr="00CA72A2" w:rsidRDefault="00350287" w:rsidP="00350287">
      <w:pPr>
        <w:widowControl w:val="0"/>
        <w:spacing w:line="240" w:lineRule="auto"/>
        <w:rPr>
          <w:rFonts w:asciiTheme="majorHAnsi" w:hAnsiTheme="majorHAnsi"/>
          <w:sz w:val="24"/>
        </w:rPr>
      </w:pPr>
    </w:p>
    <w:p w14:paraId="17B4B096" w14:textId="77777777" w:rsidR="00350287" w:rsidRPr="00CA72A2" w:rsidRDefault="00350287" w:rsidP="00350287">
      <w:pPr>
        <w:widowControl w:val="0"/>
        <w:tabs>
          <w:tab w:val="left" w:pos="142"/>
        </w:tabs>
        <w:spacing w:line="240" w:lineRule="auto"/>
        <w:ind w:left="33"/>
        <w:rPr>
          <w:rFonts w:asciiTheme="majorHAnsi" w:hAnsiTheme="majorHAnsi"/>
          <w:b/>
          <w:sz w:val="24"/>
        </w:rPr>
      </w:pPr>
      <w:r w:rsidRPr="00CA72A2">
        <w:rPr>
          <w:rFonts w:asciiTheme="majorHAnsi" w:hAnsiTheme="majorHAnsi"/>
          <w:b/>
          <w:sz w:val="24"/>
        </w:rPr>
        <w:t>II. CATEGORÍAS DE EVENTOS DE PÉRDIDA POR RIESGO OPERATIVO</w:t>
      </w:r>
    </w:p>
    <w:p w14:paraId="09E72ED5" w14:textId="77777777" w:rsidR="00350287" w:rsidRPr="00CA72A2" w:rsidRDefault="00350287" w:rsidP="00350287">
      <w:pPr>
        <w:widowControl w:val="0"/>
        <w:tabs>
          <w:tab w:val="left" w:pos="142"/>
        </w:tabs>
        <w:spacing w:line="240" w:lineRule="auto"/>
        <w:ind w:left="33"/>
        <w:rPr>
          <w:rFonts w:asciiTheme="majorHAnsi" w:hAnsiTheme="majorHAnsi"/>
          <w:b/>
          <w:sz w:val="24"/>
        </w:rPr>
      </w:pPr>
    </w:p>
    <w:p w14:paraId="04FC47AC" w14:textId="77777777" w:rsidR="00350287" w:rsidRPr="00CA72A2" w:rsidRDefault="00350287" w:rsidP="00350287">
      <w:pPr>
        <w:widowControl w:val="0"/>
        <w:tabs>
          <w:tab w:val="left" w:pos="142"/>
        </w:tabs>
        <w:spacing w:line="240" w:lineRule="auto"/>
        <w:ind w:left="33"/>
        <w:rPr>
          <w:rFonts w:asciiTheme="majorHAnsi" w:hAnsiTheme="majorHAnsi"/>
          <w:sz w:val="24"/>
        </w:rPr>
      </w:pPr>
      <w:r w:rsidRPr="00CA72A2">
        <w:rPr>
          <w:rFonts w:asciiTheme="majorHAnsi" w:hAnsiTheme="majorHAnsi"/>
          <w:sz w:val="24"/>
        </w:rPr>
        <w:t xml:space="preserve">Corresponden a los eventos de pérdida dispuestos por el Comité de Basilea, </w:t>
      </w:r>
      <w:r w:rsidRPr="00CA72A2">
        <w:rPr>
          <w:rFonts w:asciiTheme="majorHAnsi" w:hAnsiTheme="majorHAnsi"/>
          <w:sz w:val="24"/>
        </w:rPr>
        <w:lastRenderedPageBreak/>
        <w:t>que la entidad puede ajustar de acuerdo a sus características y abriendo subcategorías cuando sea pertinente.</w:t>
      </w:r>
    </w:p>
    <w:p w14:paraId="5D563DFE" w14:textId="77777777" w:rsidR="00350287" w:rsidRPr="00CA72A2" w:rsidRDefault="00350287" w:rsidP="00350287">
      <w:pPr>
        <w:widowControl w:val="0"/>
        <w:tabs>
          <w:tab w:val="left" w:pos="142"/>
        </w:tabs>
        <w:spacing w:line="240" w:lineRule="auto"/>
        <w:ind w:left="33"/>
        <w:rPr>
          <w:rFonts w:asciiTheme="majorHAnsi" w:hAnsiTheme="majorHAnsi"/>
          <w:sz w:val="24"/>
        </w:rPr>
      </w:pPr>
    </w:p>
    <w:p w14:paraId="50950F11" w14:textId="77777777" w:rsidR="00350287" w:rsidRPr="00CA72A2" w:rsidRDefault="00350287" w:rsidP="00350287">
      <w:pPr>
        <w:pStyle w:val="Prrafodelista"/>
        <w:numPr>
          <w:ilvl w:val="0"/>
          <w:numId w:val="19"/>
        </w:numPr>
        <w:spacing w:after="0" w:line="240" w:lineRule="auto"/>
        <w:ind w:left="33" w:right="51" w:firstLine="0"/>
        <w:jc w:val="both"/>
        <w:rPr>
          <w:rFonts w:asciiTheme="majorHAnsi" w:hAnsiTheme="majorHAnsi"/>
          <w:sz w:val="24"/>
          <w:szCs w:val="24"/>
        </w:rPr>
      </w:pPr>
      <w:r w:rsidRPr="00CA72A2">
        <w:rPr>
          <w:rFonts w:asciiTheme="majorHAnsi" w:hAnsiTheme="majorHAnsi"/>
          <w:b/>
          <w:sz w:val="24"/>
          <w:szCs w:val="24"/>
        </w:rPr>
        <w:t>Fraude interno</w:t>
      </w:r>
      <w:r w:rsidRPr="00CA72A2">
        <w:rPr>
          <w:rFonts w:asciiTheme="majorHAnsi" w:hAnsiTheme="majorHAnsi"/>
          <w:sz w:val="24"/>
          <w:szCs w:val="24"/>
        </w:rPr>
        <w:t>.- Pérdidas derivadas de algún tipo de actuación encaminada a defraudar, apropiarse de bienes indebidamente o incumplir regulaciones, leyes o políticas empresariales en las que se encuentra implicado, al menos, un miembro de la empresa, y que tiene como fin obtener un beneficio ilícito.</w:t>
      </w:r>
    </w:p>
    <w:p w14:paraId="016FD832" w14:textId="77777777" w:rsidR="00350287" w:rsidRPr="00CA72A2" w:rsidRDefault="00350287" w:rsidP="00350287">
      <w:pPr>
        <w:pStyle w:val="Prrafodelista"/>
        <w:spacing w:after="0" w:line="240" w:lineRule="auto"/>
        <w:ind w:left="33" w:right="51"/>
        <w:jc w:val="both"/>
        <w:rPr>
          <w:rFonts w:asciiTheme="majorHAnsi" w:hAnsiTheme="majorHAnsi"/>
          <w:sz w:val="24"/>
          <w:szCs w:val="24"/>
        </w:rPr>
      </w:pPr>
    </w:p>
    <w:p w14:paraId="3AC5A18C" w14:textId="77777777" w:rsidR="00350287" w:rsidRPr="00CA72A2" w:rsidRDefault="00350287" w:rsidP="00350287">
      <w:pPr>
        <w:pStyle w:val="Prrafodelista"/>
        <w:numPr>
          <w:ilvl w:val="0"/>
          <w:numId w:val="19"/>
        </w:numPr>
        <w:spacing w:after="0" w:line="240" w:lineRule="auto"/>
        <w:ind w:left="33" w:right="51" w:firstLine="0"/>
        <w:jc w:val="both"/>
        <w:rPr>
          <w:rFonts w:asciiTheme="majorHAnsi" w:hAnsiTheme="majorHAnsi"/>
          <w:sz w:val="24"/>
          <w:szCs w:val="24"/>
        </w:rPr>
      </w:pPr>
      <w:r w:rsidRPr="00CA72A2">
        <w:rPr>
          <w:rFonts w:asciiTheme="majorHAnsi" w:hAnsiTheme="majorHAnsi"/>
          <w:b/>
          <w:sz w:val="24"/>
          <w:szCs w:val="24"/>
        </w:rPr>
        <w:t>Fraude externo</w:t>
      </w:r>
      <w:r w:rsidRPr="00CA72A2">
        <w:rPr>
          <w:rFonts w:asciiTheme="majorHAnsi" w:hAnsiTheme="majorHAnsi"/>
          <w:sz w:val="24"/>
          <w:szCs w:val="24"/>
        </w:rPr>
        <w:t>.- Pérdidas derivadas de algún tipo de actuación encaminada a defraudar, apropiarse de bienes indebidamente o incumplir la legislación, por parte de un tercero, con el fin de obtener un beneficio ilícito.</w:t>
      </w:r>
    </w:p>
    <w:p w14:paraId="28EC31EA" w14:textId="77777777" w:rsidR="00350287" w:rsidRPr="00CA72A2" w:rsidRDefault="00350287" w:rsidP="00C051E5">
      <w:pPr>
        <w:pStyle w:val="Prrafodelista"/>
        <w:numPr>
          <w:ilvl w:val="0"/>
          <w:numId w:val="19"/>
        </w:numPr>
        <w:spacing w:after="0" w:line="240" w:lineRule="auto"/>
        <w:ind w:left="33" w:right="51" w:firstLine="0"/>
        <w:jc w:val="both"/>
        <w:rPr>
          <w:rFonts w:asciiTheme="majorHAnsi" w:hAnsiTheme="majorHAnsi"/>
          <w:sz w:val="24"/>
          <w:szCs w:val="24"/>
        </w:rPr>
      </w:pPr>
      <w:r w:rsidRPr="00CA72A2">
        <w:rPr>
          <w:rFonts w:asciiTheme="majorHAnsi" w:hAnsiTheme="majorHAnsi"/>
          <w:b/>
          <w:sz w:val="24"/>
          <w:szCs w:val="24"/>
        </w:rPr>
        <w:t>Relaciones laborales y seguridad en el puesto de trabajo</w:t>
      </w:r>
      <w:r w:rsidRPr="00CA72A2">
        <w:rPr>
          <w:rFonts w:asciiTheme="majorHAnsi" w:hAnsiTheme="majorHAnsi"/>
          <w:sz w:val="24"/>
          <w:szCs w:val="24"/>
        </w:rPr>
        <w:t>.- Pérdidas derivadas de actuaciones incompatibles con la legislación o acuerdos laborales, sobre higiene o seguridad en el trabajo, sobre el pago de reclamos por daños personales, o sobre casos relacionados con la diversidad o discriminación.</w:t>
      </w:r>
    </w:p>
    <w:p w14:paraId="5F139326" w14:textId="77777777" w:rsidR="00C051E5" w:rsidRPr="00CA72A2" w:rsidRDefault="00C051E5" w:rsidP="00C051E5">
      <w:pPr>
        <w:pStyle w:val="Prrafodelista"/>
        <w:tabs>
          <w:tab w:val="left" w:pos="394"/>
        </w:tabs>
        <w:spacing w:after="0" w:line="240" w:lineRule="auto"/>
        <w:ind w:left="33" w:right="51"/>
        <w:jc w:val="both"/>
        <w:rPr>
          <w:rFonts w:asciiTheme="majorHAnsi" w:hAnsiTheme="majorHAnsi"/>
          <w:sz w:val="24"/>
          <w:szCs w:val="24"/>
        </w:rPr>
      </w:pPr>
    </w:p>
    <w:p w14:paraId="0843A21F" w14:textId="77777777" w:rsidR="00350287" w:rsidRPr="00CA72A2" w:rsidRDefault="00350287" w:rsidP="00C051E5">
      <w:pPr>
        <w:pStyle w:val="Prrafodelista"/>
        <w:numPr>
          <w:ilvl w:val="0"/>
          <w:numId w:val="19"/>
        </w:numPr>
        <w:spacing w:after="0" w:line="240" w:lineRule="auto"/>
        <w:ind w:left="33" w:right="51" w:firstLine="0"/>
        <w:jc w:val="both"/>
        <w:rPr>
          <w:rFonts w:asciiTheme="majorHAnsi" w:hAnsiTheme="majorHAnsi"/>
          <w:sz w:val="24"/>
          <w:szCs w:val="24"/>
        </w:rPr>
      </w:pPr>
      <w:r w:rsidRPr="00CA72A2">
        <w:rPr>
          <w:rFonts w:asciiTheme="majorHAnsi" w:hAnsiTheme="majorHAnsi"/>
          <w:b/>
          <w:sz w:val="24"/>
          <w:szCs w:val="24"/>
        </w:rPr>
        <w:t>Clientes, productos y prácticas empresariales</w:t>
      </w:r>
      <w:r w:rsidRPr="00CA72A2">
        <w:rPr>
          <w:rFonts w:asciiTheme="majorHAnsi" w:hAnsiTheme="majorHAnsi"/>
          <w:sz w:val="24"/>
          <w:szCs w:val="24"/>
        </w:rPr>
        <w:t>.- Pérdidas derivadas del incumplimiento involuntario o negligente de una obligación empresarial frente a clientes concretos (incluidos requisitos fiduciarios y de adecuación), o de la naturaleza o diseño de un producto.</w:t>
      </w:r>
    </w:p>
    <w:p w14:paraId="25AF3703" w14:textId="77777777" w:rsidR="00350287" w:rsidRPr="00CA72A2" w:rsidRDefault="00350287" w:rsidP="00350287">
      <w:pPr>
        <w:pStyle w:val="Prrafodelista"/>
        <w:tabs>
          <w:tab w:val="left" w:pos="394"/>
        </w:tabs>
        <w:spacing w:after="0" w:line="240" w:lineRule="auto"/>
        <w:ind w:left="33" w:right="51"/>
        <w:jc w:val="both"/>
        <w:rPr>
          <w:rFonts w:asciiTheme="majorHAnsi" w:hAnsiTheme="majorHAnsi"/>
          <w:sz w:val="24"/>
          <w:szCs w:val="24"/>
        </w:rPr>
      </w:pPr>
    </w:p>
    <w:p w14:paraId="4DDE26F6" w14:textId="77777777" w:rsidR="00350287" w:rsidRPr="00CA72A2" w:rsidRDefault="00350287" w:rsidP="00350287">
      <w:pPr>
        <w:pStyle w:val="Prrafodelista"/>
        <w:numPr>
          <w:ilvl w:val="0"/>
          <w:numId w:val="19"/>
        </w:numPr>
        <w:spacing w:after="0" w:line="240" w:lineRule="auto"/>
        <w:ind w:left="33" w:right="51" w:firstLine="0"/>
        <w:jc w:val="both"/>
        <w:rPr>
          <w:rFonts w:asciiTheme="majorHAnsi" w:hAnsiTheme="majorHAnsi"/>
          <w:sz w:val="24"/>
          <w:szCs w:val="24"/>
        </w:rPr>
      </w:pPr>
      <w:r w:rsidRPr="00CA72A2">
        <w:rPr>
          <w:rFonts w:asciiTheme="majorHAnsi" w:hAnsiTheme="majorHAnsi"/>
          <w:b/>
          <w:sz w:val="24"/>
          <w:szCs w:val="24"/>
        </w:rPr>
        <w:t>Daños a activos materiales</w:t>
      </w:r>
      <w:r w:rsidRPr="00CA72A2">
        <w:rPr>
          <w:rFonts w:asciiTheme="majorHAnsi" w:hAnsiTheme="majorHAnsi"/>
          <w:sz w:val="24"/>
          <w:szCs w:val="24"/>
        </w:rPr>
        <w:t>.- Pérdidas derivadas de daños o perjuicios a activos materiales como consecuencia de desastres naturales u otros acontecimientos.</w:t>
      </w:r>
    </w:p>
    <w:p w14:paraId="5E898009" w14:textId="77777777" w:rsidR="00350287" w:rsidRPr="00CA72A2" w:rsidRDefault="00350287" w:rsidP="00350287">
      <w:pPr>
        <w:spacing w:line="240" w:lineRule="auto"/>
        <w:ind w:right="51"/>
        <w:rPr>
          <w:rFonts w:asciiTheme="majorHAnsi" w:hAnsiTheme="majorHAnsi"/>
          <w:sz w:val="24"/>
        </w:rPr>
      </w:pPr>
    </w:p>
    <w:p w14:paraId="5C01BCD9" w14:textId="77777777" w:rsidR="00350287" w:rsidRPr="00CA72A2" w:rsidRDefault="00350287" w:rsidP="00350287">
      <w:pPr>
        <w:pStyle w:val="Prrafodelista"/>
        <w:numPr>
          <w:ilvl w:val="0"/>
          <w:numId w:val="19"/>
        </w:numPr>
        <w:spacing w:after="0" w:line="240" w:lineRule="auto"/>
        <w:ind w:left="33" w:right="51" w:firstLine="0"/>
        <w:jc w:val="both"/>
        <w:rPr>
          <w:rFonts w:asciiTheme="majorHAnsi" w:hAnsiTheme="majorHAnsi"/>
          <w:sz w:val="24"/>
          <w:szCs w:val="24"/>
        </w:rPr>
      </w:pPr>
      <w:r w:rsidRPr="00CA72A2">
        <w:rPr>
          <w:rFonts w:asciiTheme="majorHAnsi" w:hAnsiTheme="majorHAnsi"/>
          <w:b/>
          <w:sz w:val="24"/>
          <w:szCs w:val="24"/>
        </w:rPr>
        <w:lastRenderedPageBreak/>
        <w:t>Interrupción del negocio y fallos en los sistemas</w:t>
      </w:r>
      <w:r w:rsidRPr="00CA72A2">
        <w:rPr>
          <w:rFonts w:asciiTheme="majorHAnsi" w:hAnsiTheme="majorHAnsi"/>
          <w:sz w:val="24"/>
          <w:szCs w:val="24"/>
        </w:rPr>
        <w:t>.- Pérdidas derivadas de interrupciones en el negocio y de fallos en los sistemas.</w:t>
      </w:r>
    </w:p>
    <w:p w14:paraId="49B6BA08" w14:textId="77777777" w:rsidR="00350287" w:rsidRPr="00CA72A2" w:rsidRDefault="00350287" w:rsidP="00350287">
      <w:pPr>
        <w:spacing w:line="240" w:lineRule="auto"/>
        <w:ind w:right="51"/>
        <w:rPr>
          <w:rFonts w:asciiTheme="majorHAnsi" w:hAnsiTheme="majorHAnsi"/>
          <w:sz w:val="24"/>
        </w:rPr>
      </w:pPr>
    </w:p>
    <w:p w14:paraId="020B9FA6" w14:textId="77777777" w:rsidR="00350287" w:rsidRPr="00CA72A2" w:rsidRDefault="00350287" w:rsidP="00350287">
      <w:pPr>
        <w:pStyle w:val="Prrafodelista"/>
        <w:numPr>
          <w:ilvl w:val="0"/>
          <w:numId w:val="19"/>
        </w:numPr>
        <w:spacing w:after="0" w:line="240" w:lineRule="auto"/>
        <w:ind w:left="33" w:right="51" w:firstLine="0"/>
        <w:jc w:val="both"/>
        <w:rPr>
          <w:rFonts w:asciiTheme="majorHAnsi" w:hAnsiTheme="majorHAnsi"/>
          <w:sz w:val="24"/>
          <w:szCs w:val="24"/>
        </w:rPr>
      </w:pPr>
      <w:r w:rsidRPr="00CA72A2">
        <w:rPr>
          <w:rFonts w:asciiTheme="majorHAnsi" w:hAnsiTheme="majorHAnsi"/>
          <w:b/>
          <w:sz w:val="24"/>
          <w:szCs w:val="24"/>
        </w:rPr>
        <w:t>Ejecución, entrega y gestión de procesos.-</w:t>
      </w:r>
      <w:r w:rsidRPr="00CA72A2">
        <w:rPr>
          <w:rFonts w:asciiTheme="majorHAnsi" w:hAnsiTheme="majorHAnsi"/>
          <w:sz w:val="24"/>
          <w:szCs w:val="24"/>
        </w:rPr>
        <w:t xml:space="preserve"> Pérdidas derivadas de errores en el procesamiento de operaciones o en la gestión de procesos, así como de relaciones con contrapartes comerciales y proveedores</w:t>
      </w:r>
    </w:p>
    <w:p w14:paraId="12F85582" w14:textId="77777777" w:rsidR="00350287" w:rsidRPr="00CA72A2" w:rsidRDefault="00350287" w:rsidP="00350287">
      <w:pPr>
        <w:spacing w:line="240" w:lineRule="auto"/>
        <w:ind w:right="51"/>
        <w:rPr>
          <w:rFonts w:asciiTheme="majorHAnsi" w:hAnsiTheme="majorHAnsi"/>
          <w:sz w:val="24"/>
        </w:rPr>
      </w:pPr>
    </w:p>
    <w:p w14:paraId="5BF52A87" w14:textId="77777777" w:rsidR="00350287" w:rsidRPr="00CA72A2" w:rsidRDefault="00350287" w:rsidP="00350287">
      <w:pPr>
        <w:tabs>
          <w:tab w:val="left" w:pos="142"/>
        </w:tabs>
        <w:spacing w:line="240" w:lineRule="auto"/>
        <w:ind w:left="33" w:right="51"/>
        <w:rPr>
          <w:rFonts w:asciiTheme="majorHAnsi" w:hAnsiTheme="majorHAnsi"/>
          <w:b/>
          <w:sz w:val="24"/>
        </w:rPr>
      </w:pPr>
    </w:p>
    <w:p w14:paraId="676D66C4" w14:textId="77777777" w:rsidR="00350287" w:rsidRPr="00CA72A2" w:rsidRDefault="00350287" w:rsidP="00350287">
      <w:pPr>
        <w:widowControl w:val="0"/>
        <w:tabs>
          <w:tab w:val="left" w:pos="142"/>
        </w:tabs>
        <w:spacing w:line="240" w:lineRule="auto"/>
        <w:ind w:left="33"/>
        <w:rPr>
          <w:rFonts w:asciiTheme="majorHAnsi" w:hAnsiTheme="majorHAnsi"/>
          <w:b/>
          <w:sz w:val="24"/>
        </w:rPr>
      </w:pPr>
      <w:r w:rsidRPr="00CA72A2">
        <w:rPr>
          <w:rFonts w:asciiTheme="majorHAnsi" w:hAnsiTheme="majorHAnsi"/>
          <w:b/>
          <w:sz w:val="24"/>
        </w:rPr>
        <w:t>III. CAMPOS DE LA BASE DE DATOS SOBRE INCIDENCIAS Y EVENTOS DE RIESGO OPERATIVO</w:t>
      </w:r>
    </w:p>
    <w:p w14:paraId="6B0C525B" w14:textId="77777777" w:rsidR="00350287" w:rsidRPr="00CA72A2" w:rsidRDefault="00350287" w:rsidP="00350287">
      <w:pPr>
        <w:widowControl w:val="0"/>
        <w:tabs>
          <w:tab w:val="left" w:pos="142"/>
        </w:tabs>
        <w:spacing w:line="240" w:lineRule="auto"/>
        <w:ind w:left="33"/>
        <w:rPr>
          <w:rFonts w:asciiTheme="majorHAnsi" w:hAnsiTheme="majorHAnsi"/>
          <w:b/>
          <w:sz w:val="24"/>
        </w:rPr>
      </w:pPr>
    </w:p>
    <w:p w14:paraId="52C04F24" w14:textId="77777777" w:rsidR="00350287" w:rsidRPr="00CA72A2" w:rsidRDefault="00350287" w:rsidP="00350287">
      <w:pPr>
        <w:widowControl w:val="0"/>
        <w:tabs>
          <w:tab w:val="left" w:pos="142"/>
        </w:tabs>
        <w:spacing w:line="240" w:lineRule="auto"/>
        <w:ind w:left="33"/>
        <w:rPr>
          <w:rFonts w:asciiTheme="majorHAnsi" w:hAnsiTheme="majorHAnsi"/>
          <w:sz w:val="24"/>
        </w:rPr>
      </w:pPr>
      <w:r w:rsidRPr="00CA72A2">
        <w:rPr>
          <w:rFonts w:asciiTheme="majorHAnsi" w:hAnsiTheme="majorHAnsi"/>
          <w:sz w:val="24"/>
        </w:rPr>
        <w:t>La base de datos de incidencias y eventos de riesgo permite establecer de forma cuantitativa la exposición al riesgo operativo de la entidad.  Esta herramienta suministra información sobre cuáles son los eventos más relevantes y en qué líneas de negocio se originan.</w:t>
      </w:r>
    </w:p>
    <w:p w14:paraId="36A8E914" w14:textId="77777777" w:rsidR="00350287" w:rsidRPr="00CA72A2" w:rsidRDefault="00350287" w:rsidP="00350287">
      <w:pPr>
        <w:widowControl w:val="0"/>
        <w:tabs>
          <w:tab w:val="left" w:pos="142"/>
        </w:tabs>
        <w:spacing w:line="240" w:lineRule="auto"/>
        <w:ind w:left="33"/>
        <w:rPr>
          <w:rFonts w:asciiTheme="majorHAnsi" w:hAnsiTheme="majorHAnsi"/>
          <w:sz w:val="24"/>
        </w:rPr>
      </w:pPr>
    </w:p>
    <w:p w14:paraId="0902654F" w14:textId="77777777" w:rsidR="00350287" w:rsidRPr="00CA72A2" w:rsidRDefault="00350287" w:rsidP="00350287">
      <w:pPr>
        <w:widowControl w:val="0"/>
        <w:tabs>
          <w:tab w:val="left" w:pos="142"/>
        </w:tabs>
        <w:spacing w:line="240" w:lineRule="auto"/>
        <w:ind w:left="33"/>
        <w:rPr>
          <w:rFonts w:asciiTheme="majorHAnsi" w:hAnsiTheme="majorHAnsi"/>
          <w:sz w:val="24"/>
        </w:rPr>
      </w:pPr>
      <w:r w:rsidRPr="00CA72A2">
        <w:rPr>
          <w:rFonts w:asciiTheme="majorHAnsi" w:hAnsiTheme="majorHAnsi"/>
          <w:sz w:val="24"/>
        </w:rPr>
        <w:t>La entidad de conformidad con el artículo 19 del Acuerdo SUGEF 18-16 debe remitir a la SUGEF la información contenida en la base de datos conforme los términos del respectivo capítulo del Manual de Información-SICVECA.</w:t>
      </w:r>
    </w:p>
    <w:p w14:paraId="3BF52E4A" w14:textId="77777777" w:rsidR="00350287" w:rsidRPr="00CA72A2" w:rsidRDefault="00350287" w:rsidP="00350287">
      <w:pPr>
        <w:widowControl w:val="0"/>
        <w:tabs>
          <w:tab w:val="left" w:pos="142"/>
        </w:tabs>
        <w:spacing w:line="240" w:lineRule="auto"/>
        <w:ind w:left="33"/>
        <w:rPr>
          <w:rFonts w:asciiTheme="majorHAnsi" w:hAnsiTheme="majorHAnsi"/>
          <w:sz w:val="24"/>
        </w:rPr>
      </w:pPr>
    </w:p>
    <w:p w14:paraId="47FD9543" w14:textId="77777777" w:rsidR="00350287" w:rsidRPr="00CA72A2" w:rsidRDefault="00350287" w:rsidP="00350287">
      <w:pPr>
        <w:widowControl w:val="0"/>
        <w:tabs>
          <w:tab w:val="left" w:pos="142"/>
        </w:tabs>
        <w:spacing w:line="240" w:lineRule="auto"/>
        <w:ind w:left="33"/>
        <w:rPr>
          <w:rFonts w:asciiTheme="majorHAnsi" w:hAnsiTheme="majorHAnsi"/>
          <w:sz w:val="24"/>
        </w:rPr>
      </w:pPr>
      <w:r w:rsidRPr="00CA72A2">
        <w:rPr>
          <w:rFonts w:asciiTheme="majorHAnsi" w:hAnsiTheme="majorHAnsi"/>
          <w:sz w:val="24"/>
        </w:rPr>
        <w:t xml:space="preserve">De conformidad con lo dispuesto en el artículo 14 del Acuerdo SUGEF 18-16, la entidad debe consignar en su base de datos sobre incidencias y eventos de riesgo operativo los siguientes campos: </w:t>
      </w:r>
    </w:p>
    <w:p w14:paraId="66541703" w14:textId="77777777" w:rsidR="00350287" w:rsidRPr="00CA72A2" w:rsidRDefault="00350287" w:rsidP="00350287">
      <w:pPr>
        <w:widowControl w:val="0"/>
        <w:tabs>
          <w:tab w:val="left" w:pos="142"/>
        </w:tabs>
        <w:spacing w:line="240" w:lineRule="auto"/>
        <w:ind w:left="33"/>
        <w:rPr>
          <w:rFonts w:asciiTheme="majorHAnsi" w:hAnsiTheme="majorHAnsi"/>
          <w:sz w:val="24"/>
        </w:rPr>
      </w:pPr>
    </w:p>
    <w:p w14:paraId="7E6805F7" w14:textId="77777777" w:rsidR="00350287" w:rsidRPr="00CA72A2" w:rsidRDefault="00350287" w:rsidP="00350287">
      <w:pPr>
        <w:pStyle w:val="Prrafodelista"/>
        <w:tabs>
          <w:tab w:val="left" w:pos="142"/>
        </w:tabs>
        <w:spacing w:after="0" w:line="240" w:lineRule="auto"/>
        <w:ind w:left="33" w:right="51"/>
        <w:jc w:val="both"/>
        <w:rPr>
          <w:rFonts w:asciiTheme="majorHAnsi" w:hAnsiTheme="majorHAnsi"/>
          <w:sz w:val="24"/>
          <w:szCs w:val="24"/>
          <w:u w:val="single"/>
          <w:lang w:val="es-ES"/>
        </w:rPr>
      </w:pPr>
      <w:r w:rsidRPr="00CA72A2">
        <w:rPr>
          <w:rFonts w:asciiTheme="majorHAnsi" w:hAnsiTheme="majorHAnsi"/>
          <w:sz w:val="24"/>
          <w:szCs w:val="24"/>
          <w:u w:val="single"/>
          <w:lang w:val="es-ES"/>
        </w:rPr>
        <w:t>Campos - Incidencias</w:t>
      </w:r>
    </w:p>
    <w:p w14:paraId="77B9D5C1" w14:textId="77777777" w:rsidR="00350287" w:rsidRPr="00CA72A2" w:rsidRDefault="00350287" w:rsidP="00350287">
      <w:pPr>
        <w:pStyle w:val="Prrafodelista"/>
        <w:tabs>
          <w:tab w:val="left" w:pos="142"/>
        </w:tabs>
        <w:spacing w:after="0" w:line="240" w:lineRule="auto"/>
        <w:ind w:left="33" w:right="51"/>
        <w:jc w:val="both"/>
        <w:rPr>
          <w:rFonts w:asciiTheme="majorHAnsi" w:hAnsiTheme="majorHAnsi"/>
          <w:sz w:val="24"/>
          <w:szCs w:val="24"/>
          <w:u w:val="single"/>
          <w:lang w:val="es-ES"/>
        </w:rPr>
      </w:pPr>
    </w:p>
    <w:p w14:paraId="2F4A453A" w14:textId="77777777" w:rsidR="00350287" w:rsidRPr="00CA72A2" w:rsidRDefault="00350287" w:rsidP="00350287">
      <w:pPr>
        <w:pStyle w:val="Prrafodelista"/>
        <w:numPr>
          <w:ilvl w:val="0"/>
          <w:numId w:val="13"/>
        </w:numPr>
        <w:spacing w:after="0" w:line="240" w:lineRule="auto"/>
        <w:ind w:left="567" w:right="51" w:hanging="534"/>
        <w:jc w:val="both"/>
        <w:rPr>
          <w:rFonts w:asciiTheme="majorHAnsi" w:hAnsiTheme="majorHAnsi"/>
          <w:sz w:val="24"/>
          <w:szCs w:val="24"/>
        </w:rPr>
      </w:pPr>
      <w:r w:rsidRPr="00CA72A2">
        <w:rPr>
          <w:rFonts w:asciiTheme="majorHAnsi" w:hAnsiTheme="majorHAnsi"/>
          <w:sz w:val="24"/>
          <w:szCs w:val="24"/>
        </w:rPr>
        <w:lastRenderedPageBreak/>
        <w:t>Código interno de identificación del incidente (secuencial y asignado por la entidad).</w:t>
      </w:r>
    </w:p>
    <w:p w14:paraId="4F4E7C24" w14:textId="77777777" w:rsidR="00350287" w:rsidRPr="00CA72A2" w:rsidRDefault="00350287" w:rsidP="00350287">
      <w:pPr>
        <w:pStyle w:val="Prrafodelista"/>
        <w:numPr>
          <w:ilvl w:val="0"/>
          <w:numId w:val="13"/>
        </w:numPr>
        <w:spacing w:after="0" w:line="240" w:lineRule="auto"/>
        <w:ind w:left="567" w:right="51" w:hanging="534"/>
        <w:jc w:val="both"/>
        <w:rPr>
          <w:rFonts w:asciiTheme="majorHAnsi" w:hAnsiTheme="majorHAnsi"/>
          <w:sz w:val="24"/>
          <w:szCs w:val="24"/>
        </w:rPr>
      </w:pPr>
      <w:r w:rsidRPr="00CA72A2">
        <w:rPr>
          <w:rFonts w:asciiTheme="majorHAnsi" w:hAnsiTheme="majorHAnsi"/>
          <w:sz w:val="24"/>
          <w:szCs w:val="24"/>
        </w:rPr>
        <w:t>Categoría de evento de pérdida (según las categorías de eventos señalados en el apartado II de estos lineamientos).</w:t>
      </w:r>
    </w:p>
    <w:p w14:paraId="10FD4227" w14:textId="77777777" w:rsidR="00350287" w:rsidRPr="00CA72A2" w:rsidRDefault="00350287" w:rsidP="00350287">
      <w:pPr>
        <w:pStyle w:val="Prrafodelista"/>
        <w:numPr>
          <w:ilvl w:val="0"/>
          <w:numId w:val="13"/>
        </w:numPr>
        <w:spacing w:after="0" w:line="240" w:lineRule="auto"/>
        <w:ind w:left="567" w:right="51" w:hanging="534"/>
        <w:jc w:val="both"/>
        <w:rPr>
          <w:rFonts w:asciiTheme="majorHAnsi" w:hAnsiTheme="majorHAnsi"/>
          <w:sz w:val="24"/>
          <w:szCs w:val="24"/>
        </w:rPr>
      </w:pPr>
      <w:r w:rsidRPr="00CA72A2">
        <w:rPr>
          <w:rFonts w:asciiTheme="majorHAnsi" w:hAnsiTheme="majorHAnsi"/>
          <w:sz w:val="24"/>
          <w:szCs w:val="24"/>
        </w:rPr>
        <w:t>Línea de negocio asociado, según líneas señaladas en el apartado I de estos lineamientos.</w:t>
      </w:r>
    </w:p>
    <w:p w14:paraId="5EDF9A2C" w14:textId="77777777" w:rsidR="00350287" w:rsidRPr="00CA72A2" w:rsidRDefault="00350287" w:rsidP="00350287">
      <w:pPr>
        <w:pStyle w:val="Prrafodelista"/>
        <w:numPr>
          <w:ilvl w:val="0"/>
          <w:numId w:val="13"/>
        </w:numPr>
        <w:spacing w:after="0" w:line="240" w:lineRule="auto"/>
        <w:ind w:left="567" w:right="51" w:hanging="534"/>
        <w:jc w:val="both"/>
        <w:rPr>
          <w:rFonts w:asciiTheme="majorHAnsi" w:hAnsiTheme="majorHAnsi"/>
          <w:sz w:val="24"/>
          <w:szCs w:val="24"/>
        </w:rPr>
      </w:pPr>
      <w:r w:rsidRPr="00CA72A2">
        <w:rPr>
          <w:rFonts w:asciiTheme="majorHAnsi" w:hAnsiTheme="majorHAnsi"/>
          <w:sz w:val="24"/>
          <w:szCs w:val="24"/>
        </w:rPr>
        <w:t xml:space="preserve">Título del riesgo.  Corresponde a la frase con que se da a conocer el nombre o asunto distintivo. </w:t>
      </w:r>
    </w:p>
    <w:p w14:paraId="432A792E" w14:textId="77777777" w:rsidR="00350287" w:rsidRPr="00CA72A2" w:rsidRDefault="00350287" w:rsidP="00350287">
      <w:pPr>
        <w:pStyle w:val="Prrafodelista"/>
        <w:numPr>
          <w:ilvl w:val="0"/>
          <w:numId w:val="13"/>
        </w:numPr>
        <w:spacing w:after="0" w:line="240" w:lineRule="auto"/>
        <w:ind w:left="567" w:right="51" w:hanging="534"/>
        <w:jc w:val="both"/>
        <w:rPr>
          <w:rFonts w:asciiTheme="majorHAnsi" w:hAnsiTheme="majorHAnsi"/>
          <w:sz w:val="24"/>
          <w:szCs w:val="24"/>
        </w:rPr>
      </w:pPr>
      <w:r w:rsidRPr="00CA72A2">
        <w:rPr>
          <w:rFonts w:asciiTheme="majorHAnsi" w:hAnsiTheme="majorHAnsi"/>
          <w:sz w:val="24"/>
          <w:szCs w:val="24"/>
        </w:rPr>
        <w:t>Descripción del riesgo.</w:t>
      </w:r>
    </w:p>
    <w:p w14:paraId="4F77A277" w14:textId="77777777" w:rsidR="00350287" w:rsidRPr="00CA72A2" w:rsidRDefault="00350287" w:rsidP="00350287">
      <w:pPr>
        <w:spacing w:line="240" w:lineRule="auto"/>
        <w:ind w:left="1134" w:right="51" w:hanging="567"/>
        <w:rPr>
          <w:rFonts w:asciiTheme="majorHAnsi" w:hAnsiTheme="majorHAnsi"/>
          <w:sz w:val="24"/>
        </w:rPr>
      </w:pPr>
      <w:r w:rsidRPr="00CA72A2">
        <w:rPr>
          <w:rFonts w:asciiTheme="majorHAnsi" w:hAnsiTheme="majorHAnsi"/>
          <w:sz w:val="24"/>
        </w:rPr>
        <w:t>5.1 Carácter del riesgo</w:t>
      </w:r>
    </w:p>
    <w:p w14:paraId="3BA09762" w14:textId="77777777" w:rsidR="00350287" w:rsidRPr="00CA72A2" w:rsidRDefault="00350287" w:rsidP="00350287">
      <w:pPr>
        <w:spacing w:line="240" w:lineRule="auto"/>
        <w:ind w:left="1701" w:right="51" w:hanging="567"/>
        <w:rPr>
          <w:rFonts w:asciiTheme="majorHAnsi" w:hAnsiTheme="majorHAnsi"/>
          <w:sz w:val="24"/>
        </w:rPr>
      </w:pPr>
      <w:r w:rsidRPr="00CA72A2">
        <w:rPr>
          <w:rFonts w:asciiTheme="majorHAnsi" w:hAnsiTheme="majorHAnsi"/>
          <w:sz w:val="24"/>
        </w:rPr>
        <w:t>5.1.1 Pérdida ocurrida individual</w:t>
      </w:r>
    </w:p>
    <w:p w14:paraId="1ADC5083" w14:textId="77777777" w:rsidR="00350287" w:rsidRPr="00CA72A2" w:rsidRDefault="00350287" w:rsidP="00350287">
      <w:pPr>
        <w:spacing w:line="240" w:lineRule="auto"/>
        <w:ind w:left="1701" w:right="51" w:hanging="567"/>
        <w:rPr>
          <w:rFonts w:asciiTheme="majorHAnsi" w:hAnsiTheme="majorHAnsi"/>
          <w:sz w:val="24"/>
        </w:rPr>
      </w:pPr>
      <w:r w:rsidRPr="00CA72A2">
        <w:rPr>
          <w:rFonts w:asciiTheme="majorHAnsi" w:hAnsiTheme="majorHAnsi"/>
          <w:sz w:val="24"/>
        </w:rPr>
        <w:t>5.1.2 Pérdida ocurrida repetitiva</w:t>
      </w:r>
    </w:p>
    <w:p w14:paraId="11097720" w14:textId="77777777" w:rsidR="00350287" w:rsidRPr="00CA72A2" w:rsidRDefault="00350287" w:rsidP="00350287">
      <w:pPr>
        <w:spacing w:line="240" w:lineRule="auto"/>
        <w:ind w:left="1701" w:right="51" w:hanging="567"/>
        <w:rPr>
          <w:rFonts w:asciiTheme="majorHAnsi" w:hAnsiTheme="majorHAnsi"/>
          <w:sz w:val="24"/>
        </w:rPr>
      </w:pPr>
      <w:r w:rsidRPr="00CA72A2">
        <w:rPr>
          <w:rFonts w:asciiTheme="majorHAnsi" w:hAnsiTheme="majorHAnsi"/>
          <w:sz w:val="24"/>
        </w:rPr>
        <w:t>5.1.3 Pérdida estimada contablemente</w:t>
      </w:r>
    </w:p>
    <w:p w14:paraId="332BCFAE" w14:textId="77777777" w:rsidR="00350287" w:rsidRPr="00CA72A2" w:rsidRDefault="00350287" w:rsidP="00350287">
      <w:pPr>
        <w:spacing w:line="240" w:lineRule="auto"/>
        <w:ind w:left="1134" w:right="51" w:hanging="567"/>
        <w:rPr>
          <w:rFonts w:asciiTheme="majorHAnsi" w:hAnsiTheme="majorHAnsi"/>
          <w:sz w:val="24"/>
        </w:rPr>
      </w:pPr>
      <w:r w:rsidRPr="00CA72A2">
        <w:rPr>
          <w:rFonts w:asciiTheme="majorHAnsi" w:hAnsiTheme="majorHAnsi"/>
          <w:sz w:val="24"/>
        </w:rPr>
        <w:t>5.2 Detalle.</w:t>
      </w:r>
    </w:p>
    <w:p w14:paraId="362BFDCD" w14:textId="77777777" w:rsidR="00350287" w:rsidRPr="00CA72A2" w:rsidRDefault="00350287" w:rsidP="00350287">
      <w:pPr>
        <w:pStyle w:val="Prrafodelista"/>
        <w:numPr>
          <w:ilvl w:val="0"/>
          <w:numId w:val="13"/>
        </w:numPr>
        <w:tabs>
          <w:tab w:val="left" w:pos="142"/>
        </w:tabs>
        <w:spacing w:after="0" w:line="240" w:lineRule="auto"/>
        <w:ind w:left="567" w:right="51" w:hanging="534"/>
        <w:jc w:val="both"/>
        <w:rPr>
          <w:rFonts w:asciiTheme="majorHAnsi" w:hAnsiTheme="majorHAnsi"/>
          <w:sz w:val="24"/>
          <w:szCs w:val="24"/>
        </w:rPr>
      </w:pPr>
      <w:r w:rsidRPr="00CA72A2">
        <w:rPr>
          <w:rFonts w:asciiTheme="majorHAnsi" w:hAnsiTheme="majorHAnsi"/>
          <w:sz w:val="24"/>
          <w:szCs w:val="24"/>
        </w:rPr>
        <w:t>Proceso o área a la que pertenece el riesgo.</w:t>
      </w:r>
    </w:p>
    <w:p w14:paraId="50B46881" w14:textId="77777777" w:rsidR="00350287" w:rsidRPr="00CA72A2" w:rsidRDefault="00350287" w:rsidP="00350287">
      <w:pPr>
        <w:tabs>
          <w:tab w:val="left" w:pos="142"/>
        </w:tabs>
        <w:spacing w:line="240" w:lineRule="auto"/>
        <w:ind w:left="1134" w:right="51" w:hanging="567"/>
        <w:rPr>
          <w:rFonts w:asciiTheme="majorHAnsi" w:hAnsiTheme="majorHAnsi"/>
          <w:sz w:val="24"/>
        </w:rPr>
      </w:pPr>
      <w:r w:rsidRPr="00CA72A2">
        <w:rPr>
          <w:rFonts w:asciiTheme="majorHAnsi" w:hAnsiTheme="majorHAnsi"/>
          <w:sz w:val="24"/>
        </w:rPr>
        <w:t>6.1</w:t>
      </w:r>
      <w:r w:rsidRPr="00CA72A2">
        <w:rPr>
          <w:rFonts w:asciiTheme="majorHAnsi" w:hAnsiTheme="majorHAnsi"/>
          <w:sz w:val="24"/>
        </w:rPr>
        <w:tab/>
        <w:t>Área de negocio</w:t>
      </w:r>
    </w:p>
    <w:p w14:paraId="3419FE32" w14:textId="77777777" w:rsidR="00350287" w:rsidRPr="00CA72A2" w:rsidRDefault="00350287" w:rsidP="00350287">
      <w:pPr>
        <w:tabs>
          <w:tab w:val="left" w:pos="142"/>
        </w:tabs>
        <w:spacing w:line="240" w:lineRule="auto"/>
        <w:ind w:left="1134" w:right="51" w:hanging="567"/>
        <w:rPr>
          <w:rFonts w:asciiTheme="majorHAnsi" w:hAnsiTheme="majorHAnsi"/>
          <w:sz w:val="24"/>
        </w:rPr>
      </w:pPr>
      <w:r w:rsidRPr="00CA72A2">
        <w:rPr>
          <w:rFonts w:asciiTheme="majorHAnsi" w:hAnsiTheme="majorHAnsi"/>
          <w:sz w:val="24"/>
        </w:rPr>
        <w:t>6.2</w:t>
      </w:r>
      <w:r w:rsidRPr="00CA72A2">
        <w:rPr>
          <w:rFonts w:asciiTheme="majorHAnsi" w:hAnsiTheme="majorHAnsi"/>
          <w:sz w:val="24"/>
        </w:rPr>
        <w:tab/>
        <w:t>Proceso</w:t>
      </w:r>
    </w:p>
    <w:p w14:paraId="64399C21" w14:textId="77777777" w:rsidR="00350287" w:rsidRPr="00CA72A2" w:rsidRDefault="00350287" w:rsidP="00350287">
      <w:pPr>
        <w:tabs>
          <w:tab w:val="left" w:pos="142"/>
        </w:tabs>
        <w:spacing w:line="240" w:lineRule="auto"/>
        <w:ind w:left="1701" w:right="51" w:hanging="567"/>
        <w:rPr>
          <w:rFonts w:asciiTheme="majorHAnsi" w:hAnsiTheme="majorHAnsi"/>
          <w:sz w:val="24"/>
        </w:rPr>
      </w:pPr>
      <w:r w:rsidRPr="00CA72A2">
        <w:rPr>
          <w:rFonts w:asciiTheme="majorHAnsi" w:hAnsiTheme="majorHAnsi"/>
          <w:sz w:val="24"/>
        </w:rPr>
        <w:t>6.2.1 Subproceso</w:t>
      </w:r>
    </w:p>
    <w:p w14:paraId="11278145" w14:textId="77777777" w:rsidR="00350287" w:rsidRPr="00CA72A2" w:rsidRDefault="00350287" w:rsidP="00350287">
      <w:pPr>
        <w:tabs>
          <w:tab w:val="left" w:pos="142"/>
        </w:tabs>
        <w:spacing w:line="240" w:lineRule="auto"/>
        <w:ind w:left="1134" w:right="51" w:hanging="567"/>
        <w:rPr>
          <w:rFonts w:asciiTheme="majorHAnsi" w:hAnsiTheme="majorHAnsi"/>
          <w:sz w:val="24"/>
        </w:rPr>
      </w:pPr>
      <w:r w:rsidRPr="00CA72A2">
        <w:rPr>
          <w:rFonts w:asciiTheme="majorHAnsi" w:hAnsiTheme="majorHAnsi"/>
          <w:sz w:val="24"/>
        </w:rPr>
        <w:t>6.3</w:t>
      </w:r>
      <w:r w:rsidRPr="00CA72A2">
        <w:rPr>
          <w:rFonts w:asciiTheme="majorHAnsi" w:hAnsiTheme="majorHAnsi"/>
          <w:sz w:val="24"/>
        </w:rPr>
        <w:tab/>
        <w:t>Producto</w:t>
      </w:r>
    </w:p>
    <w:p w14:paraId="33970165" w14:textId="77777777" w:rsidR="00350287" w:rsidRPr="00CA72A2" w:rsidRDefault="00350287" w:rsidP="00350287">
      <w:pPr>
        <w:pStyle w:val="Prrafodelista"/>
        <w:numPr>
          <w:ilvl w:val="0"/>
          <w:numId w:val="13"/>
        </w:numPr>
        <w:tabs>
          <w:tab w:val="left" w:pos="142"/>
        </w:tabs>
        <w:spacing w:after="0" w:line="240" w:lineRule="auto"/>
        <w:ind w:left="33" w:right="51" w:firstLine="0"/>
        <w:jc w:val="both"/>
        <w:rPr>
          <w:rFonts w:asciiTheme="majorHAnsi" w:hAnsiTheme="majorHAnsi"/>
          <w:sz w:val="24"/>
          <w:szCs w:val="24"/>
        </w:rPr>
      </w:pPr>
      <w:r w:rsidRPr="00CA72A2">
        <w:rPr>
          <w:rFonts w:asciiTheme="majorHAnsi" w:hAnsiTheme="majorHAnsi"/>
          <w:sz w:val="24"/>
          <w:szCs w:val="24"/>
        </w:rPr>
        <w:t xml:space="preserve">Fecha de ocurrencia (o de inicio del riesgo). </w:t>
      </w:r>
    </w:p>
    <w:p w14:paraId="431D448D" w14:textId="77777777" w:rsidR="00350287" w:rsidRPr="00CA72A2" w:rsidRDefault="00350287" w:rsidP="00350287">
      <w:pPr>
        <w:pStyle w:val="Prrafodelista"/>
        <w:numPr>
          <w:ilvl w:val="0"/>
          <w:numId w:val="13"/>
        </w:numPr>
        <w:tabs>
          <w:tab w:val="left" w:pos="142"/>
        </w:tabs>
        <w:spacing w:after="0" w:line="240" w:lineRule="auto"/>
        <w:ind w:left="33" w:right="51" w:firstLine="0"/>
        <w:jc w:val="both"/>
        <w:rPr>
          <w:rFonts w:asciiTheme="majorHAnsi" w:hAnsiTheme="majorHAnsi"/>
          <w:sz w:val="24"/>
          <w:szCs w:val="24"/>
        </w:rPr>
      </w:pPr>
      <w:r w:rsidRPr="00CA72A2">
        <w:rPr>
          <w:rFonts w:asciiTheme="majorHAnsi" w:hAnsiTheme="majorHAnsi"/>
          <w:sz w:val="24"/>
          <w:szCs w:val="24"/>
        </w:rPr>
        <w:t>Fecha de conclusión del riesgo.</w:t>
      </w:r>
    </w:p>
    <w:p w14:paraId="54DBAC4A" w14:textId="77777777" w:rsidR="00350287" w:rsidRPr="00CA72A2" w:rsidRDefault="00350287" w:rsidP="00350287">
      <w:pPr>
        <w:pStyle w:val="Prrafodelista"/>
        <w:numPr>
          <w:ilvl w:val="0"/>
          <w:numId w:val="13"/>
        </w:numPr>
        <w:tabs>
          <w:tab w:val="left" w:pos="142"/>
        </w:tabs>
        <w:spacing w:after="0" w:line="240" w:lineRule="auto"/>
        <w:ind w:left="33" w:right="51" w:firstLine="0"/>
        <w:jc w:val="both"/>
        <w:rPr>
          <w:rFonts w:asciiTheme="majorHAnsi" w:hAnsiTheme="majorHAnsi"/>
          <w:sz w:val="24"/>
          <w:szCs w:val="24"/>
        </w:rPr>
      </w:pPr>
      <w:r w:rsidRPr="00CA72A2">
        <w:rPr>
          <w:rFonts w:asciiTheme="majorHAnsi" w:hAnsiTheme="majorHAnsi"/>
          <w:sz w:val="24"/>
          <w:szCs w:val="24"/>
        </w:rPr>
        <w:t>Fecha de descubrimiento del riesgo.</w:t>
      </w:r>
    </w:p>
    <w:p w14:paraId="0A6D6F46" w14:textId="77777777" w:rsidR="00350287" w:rsidRPr="00CA72A2" w:rsidRDefault="00350287" w:rsidP="00350287">
      <w:pPr>
        <w:pStyle w:val="Prrafodelista"/>
        <w:numPr>
          <w:ilvl w:val="0"/>
          <w:numId w:val="13"/>
        </w:numPr>
        <w:tabs>
          <w:tab w:val="left" w:pos="142"/>
        </w:tabs>
        <w:spacing w:after="0" w:line="240" w:lineRule="auto"/>
        <w:ind w:left="33" w:right="51" w:firstLine="0"/>
        <w:jc w:val="both"/>
        <w:rPr>
          <w:rFonts w:asciiTheme="majorHAnsi" w:hAnsiTheme="majorHAnsi"/>
          <w:sz w:val="24"/>
          <w:szCs w:val="24"/>
        </w:rPr>
      </w:pPr>
      <w:r w:rsidRPr="00CA72A2">
        <w:rPr>
          <w:rFonts w:asciiTheme="majorHAnsi" w:hAnsiTheme="majorHAnsi"/>
          <w:sz w:val="24"/>
          <w:szCs w:val="24"/>
        </w:rPr>
        <w:t>Fecha de registro contable del riesgo.</w:t>
      </w:r>
    </w:p>
    <w:p w14:paraId="2352827C" w14:textId="77777777" w:rsidR="00350287" w:rsidRPr="00CA72A2" w:rsidRDefault="00350287" w:rsidP="00350287">
      <w:pPr>
        <w:pStyle w:val="Prrafodelista"/>
        <w:numPr>
          <w:ilvl w:val="0"/>
          <w:numId w:val="13"/>
        </w:numPr>
        <w:tabs>
          <w:tab w:val="left" w:pos="142"/>
        </w:tabs>
        <w:spacing w:after="0" w:line="240" w:lineRule="auto"/>
        <w:ind w:left="33" w:right="51" w:firstLine="0"/>
        <w:jc w:val="both"/>
        <w:rPr>
          <w:rFonts w:asciiTheme="majorHAnsi" w:hAnsiTheme="majorHAnsi"/>
          <w:sz w:val="24"/>
          <w:szCs w:val="24"/>
        </w:rPr>
      </w:pPr>
      <w:r w:rsidRPr="00CA72A2">
        <w:rPr>
          <w:rFonts w:asciiTheme="majorHAnsi" w:hAnsiTheme="majorHAnsi"/>
          <w:sz w:val="24"/>
          <w:szCs w:val="24"/>
        </w:rPr>
        <w:t>Monto bruto de la pérdida, moneda y tipo de cambio.</w:t>
      </w:r>
    </w:p>
    <w:p w14:paraId="2F648F69" w14:textId="77777777" w:rsidR="00350287" w:rsidRPr="00CA72A2" w:rsidRDefault="00350287" w:rsidP="00350287">
      <w:pPr>
        <w:pStyle w:val="Prrafodelista"/>
        <w:numPr>
          <w:ilvl w:val="0"/>
          <w:numId w:val="13"/>
        </w:numPr>
        <w:tabs>
          <w:tab w:val="left" w:pos="142"/>
        </w:tabs>
        <w:spacing w:after="0" w:line="240" w:lineRule="auto"/>
        <w:ind w:left="33" w:right="51" w:firstLine="0"/>
        <w:jc w:val="both"/>
        <w:rPr>
          <w:rFonts w:asciiTheme="majorHAnsi" w:hAnsiTheme="majorHAnsi"/>
          <w:sz w:val="24"/>
          <w:szCs w:val="24"/>
        </w:rPr>
      </w:pPr>
      <w:r w:rsidRPr="00CA72A2">
        <w:rPr>
          <w:rFonts w:asciiTheme="majorHAnsi" w:hAnsiTheme="majorHAnsi"/>
          <w:sz w:val="24"/>
          <w:szCs w:val="24"/>
        </w:rPr>
        <w:t>Monto total recuperado.</w:t>
      </w:r>
    </w:p>
    <w:p w14:paraId="3FDE8A1C" w14:textId="77777777" w:rsidR="00350287" w:rsidRPr="00CA72A2" w:rsidRDefault="00350287" w:rsidP="00350287">
      <w:pPr>
        <w:pStyle w:val="Prrafodelista"/>
        <w:numPr>
          <w:ilvl w:val="0"/>
          <w:numId w:val="13"/>
        </w:numPr>
        <w:tabs>
          <w:tab w:val="left" w:pos="142"/>
        </w:tabs>
        <w:spacing w:after="0" w:line="240" w:lineRule="auto"/>
        <w:ind w:left="33" w:right="51" w:firstLine="0"/>
        <w:jc w:val="both"/>
        <w:rPr>
          <w:rFonts w:asciiTheme="majorHAnsi" w:hAnsiTheme="majorHAnsi"/>
          <w:sz w:val="24"/>
          <w:szCs w:val="24"/>
        </w:rPr>
      </w:pPr>
      <w:r w:rsidRPr="00CA72A2">
        <w:rPr>
          <w:rFonts w:asciiTheme="majorHAnsi" w:hAnsiTheme="majorHAnsi"/>
          <w:sz w:val="24"/>
          <w:szCs w:val="24"/>
        </w:rPr>
        <w:t>Monto neto de la pérdida, moneda y tipo de cambio.</w:t>
      </w:r>
    </w:p>
    <w:p w14:paraId="57651B47" w14:textId="77777777" w:rsidR="00350287" w:rsidRPr="00CA72A2" w:rsidRDefault="00350287" w:rsidP="00350287">
      <w:pPr>
        <w:pStyle w:val="Prrafodelista"/>
        <w:numPr>
          <w:ilvl w:val="0"/>
          <w:numId w:val="13"/>
        </w:numPr>
        <w:tabs>
          <w:tab w:val="left" w:pos="142"/>
        </w:tabs>
        <w:spacing w:after="0" w:line="240" w:lineRule="auto"/>
        <w:ind w:left="33" w:right="51" w:firstLine="0"/>
        <w:jc w:val="both"/>
        <w:rPr>
          <w:rFonts w:asciiTheme="majorHAnsi" w:hAnsiTheme="majorHAnsi"/>
          <w:sz w:val="24"/>
          <w:szCs w:val="24"/>
        </w:rPr>
      </w:pPr>
      <w:r w:rsidRPr="00CA72A2">
        <w:rPr>
          <w:rFonts w:asciiTheme="majorHAnsi" w:hAnsiTheme="majorHAnsi"/>
          <w:sz w:val="24"/>
          <w:szCs w:val="24"/>
        </w:rPr>
        <w:t>Cuenta(s) contable(s) asociada(s) (cuando aplique).</w:t>
      </w:r>
    </w:p>
    <w:p w14:paraId="5CD45B17" w14:textId="77777777" w:rsidR="00350287" w:rsidRPr="00CA72A2" w:rsidRDefault="00350287" w:rsidP="00350287">
      <w:pPr>
        <w:pStyle w:val="Prrafodelista"/>
        <w:numPr>
          <w:ilvl w:val="0"/>
          <w:numId w:val="13"/>
        </w:numPr>
        <w:tabs>
          <w:tab w:val="left" w:pos="142"/>
        </w:tabs>
        <w:spacing w:after="0" w:line="240" w:lineRule="auto"/>
        <w:ind w:left="33" w:right="51" w:firstLine="0"/>
        <w:jc w:val="both"/>
        <w:rPr>
          <w:rFonts w:asciiTheme="majorHAnsi" w:hAnsiTheme="majorHAnsi"/>
          <w:sz w:val="24"/>
          <w:szCs w:val="24"/>
        </w:rPr>
      </w:pPr>
      <w:r w:rsidRPr="00CA72A2">
        <w:rPr>
          <w:rFonts w:asciiTheme="majorHAnsi" w:hAnsiTheme="majorHAnsi"/>
          <w:sz w:val="24"/>
          <w:szCs w:val="24"/>
        </w:rPr>
        <w:lastRenderedPageBreak/>
        <w:t>Acción correctiva asociada.</w:t>
      </w:r>
    </w:p>
    <w:p w14:paraId="59B77B90" w14:textId="77777777" w:rsidR="00350287" w:rsidRPr="00CA72A2" w:rsidRDefault="00350287" w:rsidP="00350287">
      <w:pPr>
        <w:pStyle w:val="Prrafodelista"/>
        <w:numPr>
          <w:ilvl w:val="0"/>
          <w:numId w:val="13"/>
        </w:numPr>
        <w:tabs>
          <w:tab w:val="left" w:pos="142"/>
        </w:tabs>
        <w:spacing w:after="0" w:line="240" w:lineRule="auto"/>
        <w:ind w:left="33" w:right="51" w:firstLine="0"/>
        <w:jc w:val="both"/>
        <w:rPr>
          <w:rFonts w:asciiTheme="majorHAnsi" w:hAnsiTheme="majorHAnsi"/>
          <w:sz w:val="24"/>
          <w:szCs w:val="24"/>
        </w:rPr>
      </w:pPr>
      <w:r w:rsidRPr="00CA72A2">
        <w:rPr>
          <w:rFonts w:asciiTheme="majorHAnsi" w:hAnsiTheme="majorHAnsi"/>
          <w:sz w:val="24"/>
          <w:szCs w:val="24"/>
        </w:rPr>
        <w:t>Vínculo con otro riesgo.</w:t>
      </w:r>
    </w:p>
    <w:p w14:paraId="6F0C26F7" w14:textId="77777777" w:rsidR="00350287" w:rsidRPr="00CA72A2" w:rsidRDefault="00350287" w:rsidP="00350287">
      <w:pPr>
        <w:tabs>
          <w:tab w:val="left" w:pos="142"/>
        </w:tabs>
        <w:spacing w:line="240" w:lineRule="auto"/>
        <w:ind w:left="1276" w:right="51" w:hanging="567"/>
        <w:rPr>
          <w:rFonts w:asciiTheme="majorHAnsi" w:hAnsiTheme="majorHAnsi"/>
          <w:sz w:val="24"/>
        </w:rPr>
      </w:pPr>
      <w:r w:rsidRPr="00CA72A2">
        <w:rPr>
          <w:rFonts w:asciiTheme="majorHAnsi" w:hAnsiTheme="majorHAnsi"/>
          <w:sz w:val="24"/>
        </w:rPr>
        <w:t>16.1 Crédito</w:t>
      </w:r>
    </w:p>
    <w:p w14:paraId="403FC1E6" w14:textId="77777777" w:rsidR="00350287" w:rsidRPr="00CA72A2" w:rsidRDefault="00350287" w:rsidP="00350287">
      <w:pPr>
        <w:tabs>
          <w:tab w:val="left" w:pos="142"/>
        </w:tabs>
        <w:spacing w:line="240" w:lineRule="auto"/>
        <w:ind w:left="1276" w:right="51" w:hanging="567"/>
        <w:rPr>
          <w:rFonts w:asciiTheme="majorHAnsi" w:hAnsiTheme="majorHAnsi"/>
          <w:sz w:val="24"/>
        </w:rPr>
      </w:pPr>
      <w:r w:rsidRPr="00CA72A2">
        <w:rPr>
          <w:rFonts w:asciiTheme="majorHAnsi" w:hAnsiTheme="majorHAnsi"/>
          <w:sz w:val="24"/>
        </w:rPr>
        <w:t>16.2 Mercado</w:t>
      </w:r>
    </w:p>
    <w:p w14:paraId="68FE6B3F" w14:textId="77777777" w:rsidR="00350287" w:rsidRPr="00CA72A2" w:rsidRDefault="00350287" w:rsidP="00350287">
      <w:pPr>
        <w:tabs>
          <w:tab w:val="left" w:pos="142"/>
        </w:tabs>
        <w:spacing w:line="240" w:lineRule="auto"/>
        <w:ind w:left="1276" w:right="51" w:hanging="567"/>
        <w:rPr>
          <w:rFonts w:asciiTheme="majorHAnsi" w:hAnsiTheme="majorHAnsi"/>
          <w:sz w:val="24"/>
        </w:rPr>
      </w:pPr>
      <w:r w:rsidRPr="00CA72A2">
        <w:rPr>
          <w:rFonts w:asciiTheme="majorHAnsi" w:hAnsiTheme="majorHAnsi"/>
          <w:sz w:val="24"/>
        </w:rPr>
        <w:t>16.3 Crédito y Mercado</w:t>
      </w:r>
    </w:p>
    <w:p w14:paraId="03652FCD" w14:textId="77777777" w:rsidR="00350287" w:rsidRPr="00CA72A2" w:rsidRDefault="00350287" w:rsidP="00350287">
      <w:pPr>
        <w:tabs>
          <w:tab w:val="left" w:pos="142"/>
        </w:tabs>
        <w:spacing w:line="240" w:lineRule="auto"/>
        <w:ind w:left="1276" w:right="51" w:hanging="567"/>
        <w:rPr>
          <w:rFonts w:asciiTheme="majorHAnsi" w:hAnsiTheme="majorHAnsi"/>
          <w:sz w:val="24"/>
        </w:rPr>
      </w:pPr>
      <w:r w:rsidRPr="00CA72A2">
        <w:rPr>
          <w:rFonts w:asciiTheme="majorHAnsi" w:hAnsiTheme="majorHAnsi"/>
          <w:sz w:val="24"/>
        </w:rPr>
        <w:t>16.4 Otros</w:t>
      </w:r>
    </w:p>
    <w:p w14:paraId="5BE76BC4" w14:textId="77777777" w:rsidR="00350287" w:rsidRPr="00CA72A2" w:rsidRDefault="00350287" w:rsidP="00350287">
      <w:pPr>
        <w:tabs>
          <w:tab w:val="left" w:pos="142"/>
        </w:tabs>
        <w:spacing w:line="240" w:lineRule="auto"/>
        <w:ind w:left="33" w:right="51"/>
        <w:rPr>
          <w:rFonts w:asciiTheme="majorHAnsi" w:hAnsiTheme="majorHAnsi"/>
          <w:sz w:val="24"/>
        </w:rPr>
      </w:pPr>
    </w:p>
    <w:p w14:paraId="581E230E" w14:textId="77777777" w:rsidR="00350287" w:rsidRPr="00CA72A2" w:rsidRDefault="00350287" w:rsidP="00350287">
      <w:pPr>
        <w:pStyle w:val="Prrafodelista"/>
        <w:tabs>
          <w:tab w:val="left" w:pos="142"/>
        </w:tabs>
        <w:spacing w:after="0" w:line="240" w:lineRule="auto"/>
        <w:ind w:left="33" w:right="51"/>
        <w:jc w:val="both"/>
        <w:rPr>
          <w:rFonts w:asciiTheme="majorHAnsi" w:hAnsiTheme="majorHAnsi"/>
          <w:sz w:val="24"/>
          <w:szCs w:val="24"/>
          <w:u w:val="single"/>
          <w:lang w:val="es-ES"/>
        </w:rPr>
      </w:pPr>
      <w:r w:rsidRPr="00CA72A2">
        <w:rPr>
          <w:rFonts w:asciiTheme="majorHAnsi" w:hAnsiTheme="majorHAnsi"/>
          <w:sz w:val="24"/>
          <w:szCs w:val="24"/>
          <w:u w:val="single"/>
          <w:lang w:val="es-ES"/>
        </w:rPr>
        <w:t>Campos – Eventos Potenciales</w:t>
      </w:r>
    </w:p>
    <w:p w14:paraId="1733BCA9" w14:textId="77777777" w:rsidR="00350287" w:rsidRPr="00CA72A2" w:rsidRDefault="00350287" w:rsidP="00350287">
      <w:pPr>
        <w:pStyle w:val="Prrafodelista"/>
        <w:tabs>
          <w:tab w:val="left" w:pos="142"/>
        </w:tabs>
        <w:spacing w:after="0" w:line="240" w:lineRule="auto"/>
        <w:ind w:left="33" w:right="51"/>
        <w:jc w:val="both"/>
        <w:rPr>
          <w:rFonts w:asciiTheme="majorHAnsi" w:hAnsiTheme="majorHAnsi"/>
          <w:b/>
          <w:sz w:val="24"/>
          <w:szCs w:val="24"/>
          <w:u w:val="single"/>
        </w:rPr>
      </w:pPr>
    </w:p>
    <w:p w14:paraId="36D95A70" w14:textId="77777777" w:rsidR="00350287" w:rsidRPr="00CA72A2" w:rsidRDefault="00350287" w:rsidP="00350287">
      <w:pPr>
        <w:pStyle w:val="Prrafodelista"/>
        <w:numPr>
          <w:ilvl w:val="0"/>
          <w:numId w:val="14"/>
        </w:numPr>
        <w:tabs>
          <w:tab w:val="left" w:pos="142"/>
        </w:tabs>
        <w:spacing w:after="0" w:line="240" w:lineRule="auto"/>
        <w:ind w:left="567" w:right="51" w:hanging="534"/>
        <w:jc w:val="both"/>
        <w:rPr>
          <w:rFonts w:asciiTheme="majorHAnsi" w:hAnsiTheme="majorHAnsi"/>
          <w:sz w:val="24"/>
          <w:szCs w:val="24"/>
        </w:rPr>
      </w:pPr>
      <w:r w:rsidRPr="00CA72A2">
        <w:rPr>
          <w:rFonts w:asciiTheme="majorHAnsi" w:hAnsiTheme="majorHAnsi"/>
          <w:sz w:val="24"/>
          <w:szCs w:val="24"/>
        </w:rPr>
        <w:t>Código interno de identificación del evento (secuencial y asignado por la entidad).</w:t>
      </w:r>
    </w:p>
    <w:p w14:paraId="4B6F599F" w14:textId="77777777" w:rsidR="00350287" w:rsidRPr="00CA72A2" w:rsidRDefault="00350287" w:rsidP="00350287">
      <w:pPr>
        <w:pStyle w:val="Prrafodelista"/>
        <w:numPr>
          <w:ilvl w:val="0"/>
          <w:numId w:val="14"/>
        </w:numPr>
        <w:tabs>
          <w:tab w:val="left" w:pos="142"/>
        </w:tabs>
        <w:spacing w:after="0" w:line="240" w:lineRule="auto"/>
        <w:ind w:left="567" w:right="51" w:hanging="534"/>
        <w:jc w:val="both"/>
        <w:rPr>
          <w:rFonts w:asciiTheme="majorHAnsi" w:hAnsiTheme="majorHAnsi"/>
          <w:sz w:val="24"/>
          <w:szCs w:val="24"/>
        </w:rPr>
      </w:pPr>
      <w:r w:rsidRPr="00CA72A2">
        <w:rPr>
          <w:rFonts w:asciiTheme="majorHAnsi" w:hAnsiTheme="majorHAnsi"/>
          <w:sz w:val="24"/>
          <w:szCs w:val="24"/>
        </w:rPr>
        <w:t>Categoría de evento de pérdida (según las categorías de eventos señalados en el apartado II de estos lineamientos).</w:t>
      </w:r>
    </w:p>
    <w:p w14:paraId="09CE07ED" w14:textId="77777777" w:rsidR="00350287" w:rsidRPr="00CA72A2" w:rsidRDefault="00350287" w:rsidP="00350287">
      <w:pPr>
        <w:pStyle w:val="Prrafodelista"/>
        <w:numPr>
          <w:ilvl w:val="0"/>
          <w:numId w:val="14"/>
        </w:numPr>
        <w:tabs>
          <w:tab w:val="left" w:pos="142"/>
        </w:tabs>
        <w:spacing w:after="0" w:line="240" w:lineRule="auto"/>
        <w:ind w:left="567" w:right="51" w:hanging="534"/>
        <w:jc w:val="both"/>
        <w:rPr>
          <w:rFonts w:asciiTheme="majorHAnsi" w:hAnsiTheme="majorHAnsi"/>
          <w:sz w:val="24"/>
          <w:szCs w:val="24"/>
        </w:rPr>
      </w:pPr>
      <w:r w:rsidRPr="00CA72A2">
        <w:rPr>
          <w:rFonts w:asciiTheme="majorHAnsi" w:hAnsiTheme="majorHAnsi"/>
          <w:sz w:val="24"/>
          <w:szCs w:val="24"/>
        </w:rPr>
        <w:t>Línea de negocio asociado, según líneas señaladas en el apartado I de estos lineamientos.</w:t>
      </w:r>
    </w:p>
    <w:p w14:paraId="4012B66F" w14:textId="77777777" w:rsidR="00350287" w:rsidRPr="00CA72A2" w:rsidRDefault="00350287" w:rsidP="00350287">
      <w:pPr>
        <w:pStyle w:val="Prrafodelista"/>
        <w:numPr>
          <w:ilvl w:val="0"/>
          <w:numId w:val="14"/>
        </w:numPr>
        <w:tabs>
          <w:tab w:val="left" w:pos="142"/>
        </w:tabs>
        <w:spacing w:after="0" w:line="240" w:lineRule="auto"/>
        <w:ind w:left="567" w:right="51" w:hanging="534"/>
        <w:jc w:val="both"/>
        <w:rPr>
          <w:rFonts w:asciiTheme="majorHAnsi" w:hAnsiTheme="majorHAnsi"/>
          <w:sz w:val="24"/>
          <w:szCs w:val="24"/>
        </w:rPr>
      </w:pPr>
      <w:r w:rsidRPr="00CA72A2">
        <w:rPr>
          <w:rFonts w:asciiTheme="majorHAnsi" w:hAnsiTheme="majorHAnsi"/>
          <w:sz w:val="24"/>
          <w:szCs w:val="24"/>
        </w:rPr>
        <w:t xml:space="preserve">Título del evento.  Corresponde a la frase con que se da a conocer el nombre o asunto distintivo. </w:t>
      </w:r>
    </w:p>
    <w:p w14:paraId="28EDA807" w14:textId="77777777" w:rsidR="00350287" w:rsidRPr="00CA72A2" w:rsidRDefault="00350287" w:rsidP="00350287">
      <w:pPr>
        <w:pStyle w:val="Prrafodelista"/>
        <w:numPr>
          <w:ilvl w:val="0"/>
          <w:numId w:val="14"/>
        </w:numPr>
        <w:tabs>
          <w:tab w:val="left" w:pos="142"/>
        </w:tabs>
        <w:spacing w:after="0" w:line="240" w:lineRule="auto"/>
        <w:ind w:left="567" w:right="51" w:hanging="534"/>
        <w:jc w:val="both"/>
        <w:rPr>
          <w:rFonts w:asciiTheme="majorHAnsi" w:hAnsiTheme="majorHAnsi"/>
          <w:sz w:val="24"/>
          <w:szCs w:val="24"/>
        </w:rPr>
      </w:pPr>
      <w:r w:rsidRPr="00CA72A2">
        <w:rPr>
          <w:rFonts w:asciiTheme="majorHAnsi" w:hAnsiTheme="majorHAnsi"/>
          <w:sz w:val="24"/>
          <w:szCs w:val="24"/>
        </w:rPr>
        <w:t>Descripción del evento.</w:t>
      </w:r>
    </w:p>
    <w:p w14:paraId="4053D701" w14:textId="77777777" w:rsidR="00350287" w:rsidRPr="00CA72A2" w:rsidRDefault="00350287" w:rsidP="00350287">
      <w:pPr>
        <w:spacing w:line="240" w:lineRule="auto"/>
        <w:ind w:left="1134" w:right="51" w:hanging="534"/>
        <w:rPr>
          <w:rFonts w:asciiTheme="majorHAnsi" w:hAnsiTheme="majorHAnsi"/>
          <w:sz w:val="24"/>
        </w:rPr>
      </w:pPr>
      <w:r w:rsidRPr="00CA72A2">
        <w:rPr>
          <w:rFonts w:asciiTheme="majorHAnsi" w:hAnsiTheme="majorHAnsi"/>
          <w:sz w:val="24"/>
        </w:rPr>
        <w:t>5.1 Carácter del evento</w:t>
      </w:r>
    </w:p>
    <w:p w14:paraId="6B6C1F9F" w14:textId="77777777" w:rsidR="00350287" w:rsidRPr="00CA72A2" w:rsidRDefault="00350287" w:rsidP="00350287">
      <w:pPr>
        <w:spacing w:line="240" w:lineRule="auto"/>
        <w:ind w:left="1701" w:right="51" w:hanging="534"/>
        <w:rPr>
          <w:rFonts w:asciiTheme="majorHAnsi" w:hAnsiTheme="majorHAnsi"/>
          <w:sz w:val="24"/>
        </w:rPr>
      </w:pPr>
      <w:r w:rsidRPr="00CA72A2">
        <w:rPr>
          <w:rFonts w:asciiTheme="majorHAnsi" w:hAnsiTheme="majorHAnsi"/>
          <w:sz w:val="24"/>
        </w:rPr>
        <w:t>5.1.1 Cuasipérdida</w:t>
      </w:r>
    </w:p>
    <w:p w14:paraId="2E0603EF" w14:textId="77777777" w:rsidR="00350287" w:rsidRPr="00CA72A2" w:rsidRDefault="00350287" w:rsidP="00350287">
      <w:pPr>
        <w:spacing w:line="240" w:lineRule="auto"/>
        <w:ind w:left="1134" w:right="51" w:hanging="534"/>
        <w:rPr>
          <w:rFonts w:asciiTheme="majorHAnsi" w:hAnsiTheme="majorHAnsi"/>
          <w:sz w:val="24"/>
        </w:rPr>
      </w:pPr>
      <w:r w:rsidRPr="00CA72A2">
        <w:rPr>
          <w:rFonts w:asciiTheme="majorHAnsi" w:hAnsiTheme="majorHAnsi"/>
          <w:sz w:val="24"/>
        </w:rPr>
        <w:t>5.2 Detalle</w:t>
      </w:r>
    </w:p>
    <w:p w14:paraId="37D1B454" w14:textId="77777777" w:rsidR="00350287" w:rsidRPr="00CA72A2" w:rsidRDefault="00350287" w:rsidP="00350287">
      <w:pPr>
        <w:pStyle w:val="Prrafodelista"/>
        <w:numPr>
          <w:ilvl w:val="0"/>
          <w:numId w:val="14"/>
        </w:numPr>
        <w:tabs>
          <w:tab w:val="left" w:pos="142"/>
        </w:tabs>
        <w:spacing w:after="0" w:line="240" w:lineRule="auto"/>
        <w:ind w:left="567" w:right="51" w:hanging="534"/>
        <w:jc w:val="both"/>
        <w:rPr>
          <w:rFonts w:asciiTheme="majorHAnsi" w:hAnsiTheme="majorHAnsi"/>
          <w:sz w:val="24"/>
          <w:szCs w:val="24"/>
        </w:rPr>
      </w:pPr>
      <w:r w:rsidRPr="00CA72A2">
        <w:rPr>
          <w:rFonts w:asciiTheme="majorHAnsi" w:hAnsiTheme="majorHAnsi"/>
          <w:sz w:val="24"/>
          <w:szCs w:val="24"/>
        </w:rPr>
        <w:t>Proceso o área a la que pertenece el evento.</w:t>
      </w:r>
    </w:p>
    <w:p w14:paraId="02FFBF74" w14:textId="77777777" w:rsidR="00350287" w:rsidRPr="00CA72A2" w:rsidRDefault="00350287" w:rsidP="00350287">
      <w:pPr>
        <w:tabs>
          <w:tab w:val="left" w:pos="142"/>
        </w:tabs>
        <w:spacing w:line="240" w:lineRule="auto"/>
        <w:ind w:left="1134" w:right="51" w:hanging="534"/>
        <w:rPr>
          <w:rFonts w:asciiTheme="majorHAnsi" w:hAnsiTheme="majorHAnsi"/>
          <w:sz w:val="24"/>
        </w:rPr>
      </w:pPr>
      <w:r w:rsidRPr="00CA72A2">
        <w:rPr>
          <w:rFonts w:asciiTheme="majorHAnsi" w:hAnsiTheme="majorHAnsi"/>
          <w:sz w:val="24"/>
        </w:rPr>
        <w:t>6.1 Área de negocio.</w:t>
      </w:r>
    </w:p>
    <w:p w14:paraId="28607CD0" w14:textId="77777777" w:rsidR="00350287" w:rsidRPr="00CA72A2" w:rsidRDefault="00350287" w:rsidP="00350287">
      <w:pPr>
        <w:tabs>
          <w:tab w:val="left" w:pos="142"/>
        </w:tabs>
        <w:spacing w:line="240" w:lineRule="auto"/>
        <w:ind w:left="1134" w:right="51" w:hanging="534"/>
        <w:rPr>
          <w:rFonts w:asciiTheme="majorHAnsi" w:hAnsiTheme="majorHAnsi"/>
          <w:sz w:val="24"/>
        </w:rPr>
      </w:pPr>
      <w:r w:rsidRPr="00CA72A2">
        <w:rPr>
          <w:rFonts w:asciiTheme="majorHAnsi" w:hAnsiTheme="majorHAnsi"/>
          <w:sz w:val="24"/>
        </w:rPr>
        <w:t>6.2 Proceso</w:t>
      </w:r>
    </w:p>
    <w:p w14:paraId="18A10FD5" w14:textId="77777777" w:rsidR="00350287" w:rsidRPr="00CA72A2" w:rsidRDefault="00350287" w:rsidP="00350287">
      <w:pPr>
        <w:tabs>
          <w:tab w:val="left" w:pos="142"/>
        </w:tabs>
        <w:spacing w:line="240" w:lineRule="auto"/>
        <w:ind w:left="1701" w:right="51" w:hanging="534"/>
        <w:rPr>
          <w:rFonts w:asciiTheme="majorHAnsi" w:hAnsiTheme="majorHAnsi"/>
          <w:sz w:val="24"/>
        </w:rPr>
      </w:pPr>
      <w:r w:rsidRPr="00CA72A2">
        <w:rPr>
          <w:rFonts w:asciiTheme="majorHAnsi" w:hAnsiTheme="majorHAnsi"/>
          <w:sz w:val="24"/>
        </w:rPr>
        <w:t>6.2.1 Subproceso</w:t>
      </w:r>
    </w:p>
    <w:p w14:paraId="75E927CE" w14:textId="77777777" w:rsidR="00350287" w:rsidRPr="00CA72A2" w:rsidRDefault="00350287" w:rsidP="00350287">
      <w:pPr>
        <w:tabs>
          <w:tab w:val="left" w:pos="142"/>
        </w:tabs>
        <w:spacing w:line="240" w:lineRule="auto"/>
        <w:ind w:left="1134" w:right="51" w:hanging="534"/>
        <w:rPr>
          <w:rFonts w:asciiTheme="majorHAnsi" w:hAnsiTheme="majorHAnsi"/>
          <w:sz w:val="24"/>
        </w:rPr>
      </w:pPr>
      <w:r w:rsidRPr="00CA72A2">
        <w:rPr>
          <w:rFonts w:asciiTheme="majorHAnsi" w:hAnsiTheme="majorHAnsi"/>
          <w:sz w:val="24"/>
        </w:rPr>
        <w:t>6.3 Producto</w:t>
      </w:r>
    </w:p>
    <w:p w14:paraId="0CA90A57" w14:textId="77777777" w:rsidR="00350287" w:rsidRPr="00CA72A2" w:rsidRDefault="00350287" w:rsidP="00350287">
      <w:pPr>
        <w:pStyle w:val="Prrafodelista"/>
        <w:numPr>
          <w:ilvl w:val="0"/>
          <w:numId w:val="14"/>
        </w:numPr>
        <w:tabs>
          <w:tab w:val="left" w:pos="142"/>
        </w:tabs>
        <w:spacing w:after="0" w:line="240" w:lineRule="auto"/>
        <w:ind w:left="567" w:right="51" w:hanging="534"/>
        <w:jc w:val="both"/>
        <w:rPr>
          <w:rFonts w:asciiTheme="majorHAnsi" w:hAnsiTheme="majorHAnsi"/>
          <w:sz w:val="24"/>
          <w:szCs w:val="24"/>
        </w:rPr>
      </w:pPr>
      <w:r w:rsidRPr="00CA72A2">
        <w:rPr>
          <w:rFonts w:asciiTheme="majorHAnsi" w:hAnsiTheme="majorHAnsi"/>
          <w:sz w:val="24"/>
          <w:szCs w:val="24"/>
        </w:rPr>
        <w:t>Monto estimado de la pérdida, moneda y tipo de cambio.</w:t>
      </w:r>
    </w:p>
    <w:p w14:paraId="4BFE72DD" w14:textId="77777777" w:rsidR="00350287" w:rsidRPr="00CA72A2" w:rsidRDefault="00350287" w:rsidP="00350287">
      <w:pPr>
        <w:widowControl w:val="0"/>
        <w:tabs>
          <w:tab w:val="left" w:pos="142"/>
        </w:tabs>
        <w:spacing w:line="240" w:lineRule="auto"/>
        <w:ind w:left="33"/>
        <w:rPr>
          <w:rFonts w:asciiTheme="majorHAnsi" w:hAnsiTheme="majorHAnsi"/>
          <w:sz w:val="24"/>
        </w:rPr>
      </w:pPr>
    </w:p>
    <w:p w14:paraId="7B895828" w14:textId="77777777" w:rsidR="00350287" w:rsidRPr="00CA72A2" w:rsidRDefault="00350287" w:rsidP="00350287">
      <w:pPr>
        <w:widowControl w:val="0"/>
        <w:tabs>
          <w:tab w:val="left" w:pos="142"/>
        </w:tabs>
        <w:spacing w:line="240" w:lineRule="auto"/>
        <w:ind w:left="33"/>
        <w:rPr>
          <w:rFonts w:asciiTheme="majorHAnsi" w:hAnsiTheme="majorHAnsi"/>
          <w:sz w:val="24"/>
        </w:rPr>
      </w:pPr>
      <w:r w:rsidRPr="00CA72A2">
        <w:rPr>
          <w:rFonts w:asciiTheme="majorHAnsi" w:hAnsiTheme="majorHAnsi"/>
          <w:sz w:val="24"/>
        </w:rPr>
        <w:t>De seguido se presentan orientaciones generales en relación a la información que se debe consignar en la base de datos de incidencias y para eventos potenciales de riesgo operativo:</w:t>
      </w:r>
    </w:p>
    <w:p w14:paraId="5F07E87F" w14:textId="77777777" w:rsidR="00350287" w:rsidRPr="00CA72A2" w:rsidRDefault="00350287" w:rsidP="00350287">
      <w:pPr>
        <w:widowControl w:val="0"/>
        <w:tabs>
          <w:tab w:val="left" w:pos="142"/>
        </w:tabs>
        <w:spacing w:line="240" w:lineRule="auto"/>
        <w:ind w:left="33"/>
        <w:rPr>
          <w:rFonts w:asciiTheme="majorHAnsi" w:hAnsiTheme="majorHAnsi"/>
          <w:sz w:val="24"/>
        </w:rPr>
      </w:pPr>
    </w:p>
    <w:p w14:paraId="4D6F349D" w14:textId="77777777" w:rsidR="00350287" w:rsidRPr="00CA72A2" w:rsidRDefault="00350287" w:rsidP="00350287">
      <w:pPr>
        <w:pStyle w:val="Prrafodelista"/>
        <w:widowControl w:val="0"/>
        <w:numPr>
          <w:ilvl w:val="0"/>
          <w:numId w:val="20"/>
        </w:numPr>
        <w:spacing w:after="0" w:line="240" w:lineRule="auto"/>
        <w:ind w:left="567" w:hanging="534"/>
        <w:jc w:val="both"/>
        <w:rPr>
          <w:rFonts w:asciiTheme="majorHAnsi" w:hAnsiTheme="majorHAnsi"/>
          <w:sz w:val="24"/>
          <w:szCs w:val="24"/>
        </w:rPr>
      </w:pPr>
      <w:r w:rsidRPr="00CA72A2">
        <w:rPr>
          <w:rFonts w:asciiTheme="majorHAnsi" w:hAnsiTheme="majorHAnsi"/>
          <w:sz w:val="24"/>
          <w:szCs w:val="24"/>
        </w:rPr>
        <w:t>En las bases de datos se deben registrar todos los eventos que, siendo cuantificables, hayan generado pérdidas o hayan sido provisionados contablemente en el caso de incidencias. Asimismo, en la medida que puedan ser claramente identificados y cuantificados, se deben informar las cuasipérdidas de eventos potenciales.</w:t>
      </w:r>
    </w:p>
    <w:p w14:paraId="3E425B21" w14:textId="77777777" w:rsidR="00350287" w:rsidRPr="00CA72A2" w:rsidRDefault="00350287" w:rsidP="00350287">
      <w:pPr>
        <w:widowControl w:val="0"/>
        <w:tabs>
          <w:tab w:val="left" w:pos="142"/>
        </w:tabs>
        <w:spacing w:line="240" w:lineRule="auto"/>
        <w:ind w:left="33"/>
        <w:rPr>
          <w:rFonts w:asciiTheme="majorHAnsi" w:hAnsiTheme="majorHAnsi"/>
          <w:sz w:val="24"/>
          <w:lang w:val="es-CR"/>
        </w:rPr>
      </w:pPr>
    </w:p>
    <w:p w14:paraId="12AED0A4" w14:textId="77777777" w:rsidR="00350287" w:rsidRPr="00CA72A2" w:rsidRDefault="00350287" w:rsidP="00350287">
      <w:pPr>
        <w:pStyle w:val="Prrafodelista"/>
        <w:widowControl w:val="0"/>
        <w:numPr>
          <w:ilvl w:val="0"/>
          <w:numId w:val="20"/>
        </w:numPr>
        <w:spacing w:after="0" w:line="240" w:lineRule="auto"/>
        <w:ind w:left="567" w:hanging="534"/>
        <w:jc w:val="both"/>
        <w:rPr>
          <w:rFonts w:asciiTheme="majorHAnsi" w:hAnsiTheme="majorHAnsi"/>
          <w:bCs/>
          <w:sz w:val="24"/>
          <w:szCs w:val="24"/>
        </w:rPr>
      </w:pPr>
      <w:r w:rsidRPr="00CA72A2">
        <w:rPr>
          <w:rFonts w:asciiTheme="majorHAnsi" w:hAnsiTheme="majorHAnsi"/>
          <w:sz w:val="24"/>
          <w:szCs w:val="24"/>
        </w:rPr>
        <w:t xml:space="preserve">Para las incidencias se deben incluir aquellos eventos cuyo importe o monto, sin considerar el recupero, supere el umbral mínimo establecido por la </w:t>
      </w:r>
      <w:r w:rsidRPr="00CA72A2">
        <w:rPr>
          <w:rFonts w:asciiTheme="majorHAnsi" w:hAnsiTheme="majorHAnsi"/>
          <w:bCs/>
          <w:sz w:val="24"/>
          <w:szCs w:val="24"/>
        </w:rPr>
        <w:t>Junta Directiva o autoridad equivalente de la entidad. No obstante, aquellos eventos de similar naturaleza que individualmente no alcancen el monto mínimo pero su sumatoria lo exceda y se produzcan en el mismo mes (pérdidas repetitivas), deben ser incluidos e informados en forma consolidada.</w:t>
      </w:r>
    </w:p>
    <w:p w14:paraId="501AED70" w14:textId="77777777" w:rsidR="00C051E5" w:rsidRPr="00CA72A2" w:rsidRDefault="00C051E5" w:rsidP="00350287">
      <w:pPr>
        <w:widowControl w:val="0"/>
        <w:spacing w:line="240" w:lineRule="auto"/>
        <w:ind w:left="567" w:hanging="534"/>
        <w:rPr>
          <w:rFonts w:asciiTheme="majorHAnsi" w:hAnsiTheme="majorHAnsi"/>
          <w:sz w:val="24"/>
        </w:rPr>
      </w:pPr>
    </w:p>
    <w:p w14:paraId="5786DA46" w14:textId="77777777" w:rsidR="00350287" w:rsidRPr="00CA72A2" w:rsidRDefault="00350287" w:rsidP="00350287">
      <w:pPr>
        <w:widowControl w:val="0"/>
        <w:spacing w:line="240" w:lineRule="auto"/>
        <w:ind w:left="567" w:hanging="534"/>
        <w:rPr>
          <w:rFonts w:asciiTheme="majorHAnsi" w:hAnsiTheme="majorHAnsi"/>
          <w:sz w:val="24"/>
        </w:rPr>
      </w:pPr>
      <w:r w:rsidRPr="00CA72A2">
        <w:rPr>
          <w:rFonts w:asciiTheme="majorHAnsi" w:hAnsiTheme="majorHAnsi"/>
          <w:sz w:val="24"/>
        </w:rPr>
        <w:t>c)</w:t>
      </w:r>
      <w:r w:rsidRPr="00CA72A2">
        <w:rPr>
          <w:rFonts w:asciiTheme="majorHAnsi" w:hAnsiTheme="majorHAnsi"/>
          <w:sz w:val="24"/>
        </w:rPr>
        <w:tab/>
        <w:t>El monto recuperado debe asociarse y vincularse al riesgo original (causa raíz) y corresponde al importe obtenido.</w:t>
      </w:r>
    </w:p>
    <w:p w14:paraId="489BC586" w14:textId="77777777" w:rsidR="00C051E5" w:rsidRPr="00CA72A2" w:rsidRDefault="00C051E5" w:rsidP="00350287">
      <w:pPr>
        <w:spacing w:line="240" w:lineRule="auto"/>
        <w:ind w:left="567" w:hanging="534"/>
        <w:rPr>
          <w:rFonts w:asciiTheme="majorHAnsi" w:hAnsiTheme="majorHAnsi"/>
          <w:sz w:val="24"/>
        </w:rPr>
      </w:pPr>
    </w:p>
    <w:p w14:paraId="6B70A032" w14:textId="77777777" w:rsidR="00350287" w:rsidRPr="00CA72A2" w:rsidRDefault="00350287" w:rsidP="00350287">
      <w:pPr>
        <w:spacing w:line="240" w:lineRule="auto"/>
        <w:ind w:left="567" w:hanging="534"/>
        <w:rPr>
          <w:rFonts w:asciiTheme="majorHAnsi" w:hAnsiTheme="majorHAnsi"/>
          <w:sz w:val="24"/>
        </w:rPr>
      </w:pPr>
      <w:r w:rsidRPr="00CA72A2">
        <w:rPr>
          <w:rFonts w:asciiTheme="majorHAnsi" w:hAnsiTheme="majorHAnsi"/>
          <w:sz w:val="24"/>
        </w:rPr>
        <w:t>d)</w:t>
      </w:r>
      <w:r w:rsidRPr="00CA72A2">
        <w:rPr>
          <w:rFonts w:asciiTheme="majorHAnsi" w:hAnsiTheme="majorHAnsi"/>
          <w:sz w:val="24"/>
        </w:rPr>
        <w:tab/>
        <w:t xml:space="preserve">En el caso de riesgos con pérdidas múltiples (impactos múltiples), la entidad debe tener en cuenta la causa original (causa raíz) que ocasionó las pérdidas subsiguientes, de manera que la registre como si se tratase de un único incidente. </w:t>
      </w:r>
    </w:p>
    <w:p w14:paraId="4FC2028C" w14:textId="77777777" w:rsidR="00C051E5" w:rsidRPr="00CA72A2" w:rsidRDefault="00C051E5" w:rsidP="00350287">
      <w:pPr>
        <w:spacing w:line="240" w:lineRule="auto"/>
        <w:ind w:left="567" w:hanging="534"/>
        <w:rPr>
          <w:rFonts w:asciiTheme="majorHAnsi" w:hAnsiTheme="majorHAnsi"/>
          <w:sz w:val="24"/>
        </w:rPr>
      </w:pPr>
    </w:p>
    <w:p w14:paraId="5ABE862A" w14:textId="77777777" w:rsidR="00350287" w:rsidRPr="00CA72A2" w:rsidRDefault="00350287" w:rsidP="00350287">
      <w:pPr>
        <w:spacing w:line="240" w:lineRule="auto"/>
        <w:ind w:left="567" w:hanging="534"/>
        <w:rPr>
          <w:rFonts w:asciiTheme="majorHAnsi" w:hAnsiTheme="majorHAnsi"/>
          <w:sz w:val="24"/>
        </w:rPr>
      </w:pPr>
      <w:r w:rsidRPr="00CA72A2">
        <w:rPr>
          <w:rFonts w:asciiTheme="majorHAnsi" w:hAnsiTheme="majorHAnsi"/>
          <w:sz w:val="24"/>
        </w:rPr>
        <w:lastRenderedPageBreak/>
        <w:t>e)</w:t>
      </w:r>
      <w:r w:rsidRPr="00CA72A2">
        <w:rPr>
          <w:rFonts w:asciiTheme="majorHAnsi" w:hAnsiTheme="majorHAnsi"/>
          <w:sz w:val="24"/>
        </w:rPr>
        <w:tab/>
        <w:t>Se puede registrar información parcial de un riesgo, en tanto se obtengan los demás datos requeridos. Por ejemplo, podrá registrarse primero el monto de la pérdida, para posteriormente añadir las recuperaciones asociadas.</w:t>
      </w:r>
    </w:p>
    <w:p w14:paraId="7A82239F" w14:textId="77777777" w:rsidR="00C051E5" w:rsidRPr="00CA72A2" w:rsidRDefault="00C051E5" w:rsidP="00350287">
      <w:pPr>
        <w:widowControl w:val="0"/>
        <w:spacing w:line="240" w:lineRule="auto"/>
        <w:ind w:left="567" w:hanging="534"/>
        <w:rPr>
          <w:rFonts w:asciiTheme="majorHAnsi" w:hAnsiTheme="majorHAnsi"/>
          <w:sz w:val="24"/>
        </w:rPr>
      </w:pPr>
    </w:p>
    <w:p w14:paraId="5A2DD797" w14:textId="77777777" w:rsidR="00350287" w:rsidRPr="00CA72A2" w:rsidRDefault="00350287" w:rsidP="00350287">
      <w:pPr>
        <w:widowControl w:val="0"/>
        <w:spacing w:line="240" w:lineRule="auto"/>
        <w:ind w:left="567" w:hanging="534"/>
        <w:rPr>
          <w:rFonts w:asciiTheme="majorHAnsi" w:hAnsiTheme="majorHAnsi"/>
          <w:sz w:val="24"/>
        </w:rPr>
      </w:pPr>
      <w:r w:rsidRPr="00CA72A2">
        <w:rPr>
          <w:rFonts w:asciiTheme="majorHAnsi" w:hAnsiTheme="majorHAnsi"/>
          <w:sz w:val="24"/>
        </w:rPr>
        <w:t>f)</w:t>
      </w:r>
      <w:r w:rsidRPr="00CA72A2">
        <w:rPr>
          <w:rFonts w:asciiTheme="majorHAnsi" w:hAnsiTheme="majorHAnsi"/>
          <w:sz w:val="24"/>
        </w:rPr>
        <w:tab/>
        <w:t>No deben ser incluidos costos indirectos que sean cubiertos internamente sin incurrir en un gasto adicional.</w:t>
      </w:r>
    </w:p>
    <w:p w14:paraId="64DCF8B7" w14:textId="77777777" w:rsidR="00C051E5" w:rsidRDefault="00C051E5" w:rsidP="00350287">
      <w:pPr>
        <w:widowControl w:val="0"/>
        <w:spacing w:line="240" w:lineRule="auto"/>
        <w:ind w:left="567" w:hanging="534"/>
        <w:rPr>
          <w:rFonts w:asciiTheme="majorHAnsi" w:hAnsiTheme="majorHAnsi"/>
          <w:sz w:val="24"/>
        </w:rPr>
      </w:pPr>
    </w:p>
    <w:p w14:paraId="51E506E8" w14:textId="77777777" w:rsidR="00966CA3" w:rsidRPr="00CA72A2" w:rsidRDefault="00966CA3" w:rsidP="00350287">
      <w:pPr>
        <w:widowControl w:val="0"/>
        <w:spacing w:line="240" w:lineRule="auto"/>
        <w:ind w:left="567" w:hanging="534"/>
        <w:rPr>
          <w:rFonts w:asciiTheme="majorHAnsi" w:hAnsiTheme="majorHAnsi"/>
          <w:sz w:val="24"/>
        </w:rPr>
      </w:pPr>
    </w:p>
    <w:p w14:paraId="2BB4AFFF" w14:textId="77777777" w:rsidR="00350287" w:rsidRPr="00CA72A2" w:rsidRDefault="00350287" w:rsidP="00350287">
      <w:pPr>
        <w:widowControl w:val="0"/>
        <w:spacing w:line="240" w:lineRule="auto"/>
        <w:ind w:left="567" w:hanging="534"/>
        <w:rPr>
          <w:rFonts w:asciiTheme="majorHAnsi" w:hAnsiTheme="majorHAnsi"/>
          <w:sz w:val="24"/>
        </w:rPr>
      </w:pPr>
      <w:r w:rsidRPr="00CA72A2">
        <w:rPr>
          <w:rFonts w:asciiTheme="majorHAnsi" w:hAnsiTheme="majorHAnsi"/>
          <w:sz w:val="24"/>
        </w:rPr>
        <w:t>g)</w:t>
      </w:r>
      <w:r w:rsidRPr="00CA72A2">
        <w:rPr>
          <w:rFonts w:asciiTheme="majorHAnsi" w:hAnsiTheme="majorHAnsi"/>
          <w:sz w:val="24"/>
        </w:rPr>
        <w:tab/>
        <w:t>Una incidencia o un evento potencial de carácter operativo que afecte también a otro tipo de riesgos (crédito o mercado) deberá registrarse en la base de datos, cuando la principal causa de la pérdida sea de naturaleza operativo; asimismo, debe especificarse el vínculo con el otro riesgo.</w:t>
      </w:r>
    </w:p>
    <w:p w14:paraId="0E50B8EB" w14:textId="77777777" w:rsidR="00C051E5" w:rsidRPr="00CA72A2" w:rsidRDefault="00C051E5" w:rsidP="00350287">
      <w:pPr>
        <w:widowControl w:val="0"/>
        <w:spacing w:line="240" w:lineRule="auto"/>
        <w:ind w:left="567" w:hanging="534"/>
        <w:rPr>
          <w:rFonts w:asciiTheme="majorHAnsi" w:hAnsiTheme="majorHAnsi"/>
          <w:sz w:val="24"/>
        </w:rPr>
      </w:pPr>
    </w:p>
    <w:p w14:paraId="4DD091F1" w14:textId="77777777" w:rsidR="00350287" w:rsidRPr="00CA72A2" w:rsidRDefault="00350287" w:rsidP="00350287">
      <w:pPr>
        <w:widowControl w:val="0"/>
        <w:spacing w:line="240" w:lineRule="auto"/>
        <w:ind w:left="567" w:hanging="534"/>
        <w:rPr>
          <w:rFonts w:asciiTheme="majorHAnsi" w:hAnsiTheme="majorHAnsi"/>
          <w:sz w:val="24"/>
        </w:rPr>
      </w:pPr>
      <w:r w:rsidRPr="00CA72A2">
        <w:rPr>
          <w:rFonts w:asciiTheme="majorHAnsi" w:hAnsiTheme="majorHAnsi"/>
          <w:sz w:val="24"/>
        </w:rPr>
        <w:t>h)</w:t>
      </w:r>
      <w:r w:rsidRPr="00CA72A2">
        <w:rPr>
          <w:rFonts w:asciiTheme="majorHAnsi" w:hAnsiTheme="majorHAnsi"/>
          <w:sz w:val="24"/>
        </w:rPr>
        <w:tab/>
        <w:t>En caso que la pérdida involucre algún activo con valor de mercado conocido, este será el valor a tener en cuenta, más los gastos adicionales que correspondan.</w:t>
      </w:r>
    </w:p>
    <w:p w14:paraId="557BAF41" w14:textId="77777777" w:rsidR="00350287" w:rsidRPr="00CA72A2" w:rsidRDefault="00350287" w:rsidP="00350287">
      <w:pPr>
        <w:widowControl w:val="0"/>
        <w:tabs>
          <w:tab w:val="left" w:pos="142"/>
        </w:tabs>
        <w:spacing w:line="240" w:lineRule="auto"/>
        <w:ind w:left="33"/>
        <w:rPr>
          <w:rFonts w:asciiTheme="majorHAnsi" w:hAnsiTheme="majorHAnsi"/>
          <w:b/>
          <w:sz w:val="24"/>
        </w:rPr>
      </w:pPr>
    </w:p>
    <w:p w14:paraId="2F07D25F" w14:textId="534121A4" w:rsidR="00E25A07" w:rsidRPr="00CA72A2" w:rsidRDefault="00E25A07">
      <w:pPr>
        <w:spacing w:line="240" w:lineRule="auto"/>
        <w:jc w:val="left"/>
        <w:rPr>
          <w:rFonts w:asciiTheme="majorHAnsi" w:hAnsiTheme="majorHAnsi"/>
          <w:b/>
          <w:sz w:val="24"/>
        </w:rPr>
      </w:pPr>
    </w:p>
    <w:p w14:paraId="4CC46D89" w14:textId="06240606" w:rsidR="00350287" w:rsidRPr="00CA72A2" w:rsidRDefault="00350287" w:rsidP="00350287">
      <w:pPr>
        <w:widowControl w:val="0"/>
        <w:tabs>
          <w:tab w:val="left" w:pos="142"/>
        </w:tabs>
        <w:spacing w:line="240" w:lineRule="auto"/>
        <w:ind w:left="33"/>
        <w:rPr>
          <w:rFonts w:asciiTheme="majorHAnsi" w:hAnsiTheme="majorHAnsi"/>
          <w:b/>
          <w:sz w:val="24"/>
        </w:rPr>
      </w:pPr>
      <w:r w:rsidRPr="00CA72A2">
        <w:rPr>
          <w:rFonts w:asciiTheme="majorHAnsi" w:hAnsiTheme="majorHAnsi"/>
          <w:b/>
          <w:sz w:val="24"/>
        </w:rPr>
        <w:t>IV. REQUERIMIENTOS MÍNIMOS RESPECTO A LA AUTENTICACIÓN DE CLIENTES Y AUTORIZACIÓN DE TRANSACCIONES EN LOS MEDIOS Y DISPOSITIVOS DE LOS CANALES ELECTRÓNICOS UTILIZADOS EN LA PRESTACIÓN DE SERVICIOS FINANCIEROS DE BANCA EN LINEA.</w:t>
      </w:r>
    </w:p>
    <w:p w14:paraId="26AAFEF5" w14:textId="77777777" w:rsidR="00350287" w:rsidRPr="00CA72A2" w:rsidRDefault="00350287" w:rsidP="00350287">
      <w:pPr>
        <w:widowControl w:val="0"/>
        <w:tabs>
          <w:tab w:val="left" w:pos="142"/>
        </w:tabs>
        <w:spacing w:line="240" w:lineRule="auto"/>
        <w:ind w:left="33"/>
        <w:rPr>
          <w:rFonts w:asciiTheme="majorHAnsi" w:hAnsiTheme="majorHAnsi"/>
          <w:b/>
          <w:sz w:val="24"/>
        </w:rPr>
      </w:pPr>
    </w:p>
    <w:p w14:paraId="0903BCD9" w14:textId="77777777" w:rsidR="00350287" w:rsidRPr="00CA72A2" w:rsidRDefault="00350287" w:rsidP="00350287">
      <w:pPr>
        <w:widowControl w:val="0"/>
        <w:shd w:val="clear" w:color="auto" w:fill="D9D9D9"/>
        <w:spacing w:line="240" w:lineRule="auto"/>
        <w:ind w:left="33"/>
        <w:rPr>
          <w:rFonts w:asciiTheme="majorHAnsi" w:hAnsiTheme="majorHAnsi"/>
          <w:b/>
          <w:sz w:val="24"/>
        </w:rPr>
      </w:pPr>
      <w:r w:rsidRPr="00CA72A2">
        <w:rPr>
          <w:rFonts w:asciiTheme="majorHAnsi" w:hAnsiTheme="majorHAnsi"/>
          <w:b/>
          <w:sz w:val="24"/>
        </w:rPr>
        <w:t>4.1 Definiciones</w:t>
      </w:r>
    </w:p>
    <w:p w14:paraId="6F707B04" w14:textId="77777777" w:rsidR="00350287" w:rsidRPr="00CA72A2" w:rsidRDefault="00350287" w:rsidP="00350287">
      <w:pPr>
        <w:widowControl w:val="0"/>
        <w:spacing w:line="240" w:lineRule="auto"/>
        <w:ind w:left="33"/>
        <w:rPr>
          <w:rFonts w:asciiTheme="majorHAnsi" w:hAnsiTheme="majorHAnsi" w:cs="Helvetica"/>
          <w:b/>
          <w:sz w:val="24"/>
          <w:lang w:val="es-CR" w:eastAsia="es-CR"/>
        </w:rPr>
      </w:pPr>
    </w:p>
    <w:p w14:paraId="492C2C68" w14:textId="77777777" w:rsidR="00350287" w:rsidRPr="00CA72A2" w:rsidRDefault="00350287" w:rsidP="00350287">
      <w:pPr>
        <w:widowControl w:val="0"/>
        <w:spacing w:line="240" w:lineRule="auto"/>
        <w:ind w:left="33"/>
        <w:rPr>
          <w:rFonts w:asciiTheme="majorHAnsi" w:hAnsiTheme="majorHAnsi" w:cs="Helvetica"/>
          <w:b/>
          <w:sz w:val="24"/>
          <w:lang w:val="es-CR" w:eastAsia="es-CR"/>
        </w:rPr>
      </w:pPr>
      <w:r w:rsidRPr="00CA72A2">
        <w:rPr>
          <w:rFonts w:asciiTheme="majorHAnsi" w:hAnsiTheme="majorHAnsi" w:cs="Helvetica"/>
          <w:b/>
          <w:sz w:val="24"/>
          <w:lang w:val="es-CR" w:eastAsia="es-CR"/>
        </w:rPr>
        <w:lastRenderedPageBreak/>
        <w:t>Banca electrónica:</w:t>
      </w:r>
      <w:r w:rsidRPr="00CA72A2">
        <w:rPr>
          <w:rFonts w:asciiTheme="majorHAnsi" w:hAnsiTheme="majorHAnsi" w:cs="Helvetica"/>
          <w:b/>
          <w:i/>
          <w:sz w:val="24"/>
          <w:lang w:val="es-CR" w:eastAsia="es-CR"/>
        </w:rPr>
        <w:t xml:space="preserve"> </w:t>
      </w:r>
      <w:r w:rsidRPr="00CA72A2">
        <w:rPr>
          <w:rFonts w:asciiTheme="majorHAnsi" w:hAnsiTheme="majorHAnsi"/>
          <w:sz w:val="24"/>
        </w:rPr>
        <w:t>Servicios financieros suministrados a través de medios electrónicos. Comprende un conjunto de canales de comunicación compuestos por hardware y software, mediante los cuales las personadas físicas o jurídicas pueden acceder vía remota a los servicios de una entidad financiera, para obtener información o realizar transacciones bancarias.</w:t>
      </w:r>
    </w:p>
    <w:p w14:paraId="3EB0779C" w14:textId="77777777" w:rsidR="00350287" w:rsidRPr="00CA72A2" w:rsidRDefault="00350287" w:rsidP="00350287">
      <w:pPr>
        <w:widowControl w:val="0"/>
        <w:spacing w:line="240" w:lineRule="auto"/>
        <w:ind w:left="33"/>
        <w:rPr>
          <w:rFonts w:asciiTheme="majorHAnsi" w:hAnsiTheme="majorHAnsi" w:cs="Helvetica"/>
          <w:b/>
          <w:sz w:val="24"/>
          <w:lang w:val="es-CR" w:eastAsia="es-CR"/>
        </w:rPr>
      </w:pPr>
    </w:p>
    <w:p w14:paraId="12E96FBF" w14:textId="77777777" w:rsidR="00350287" w:rsidRPr="00CA72A2" w:rsidRDefault="00350287" w:rsidP="00350287">
      <w:pPr>
        <w:widowControl w:val="0"/>
        <w:spacing w:line="240" w:lineRule="auto"/>
        <w:ind w:left="33"/>
        <w:rPr>
          <w:rFonts w:asciiTheme="majorHAnsi" w:hAnsiTheme="majorHAnsi"/>
          <w:sz w:val="24"/>
        </w:rPr>
      </w:pPr>
      <w:r w:rsidRPr="00CA72A2">
        <w:rPr>
          <w:rFonts w:asciiTheme="majorHAnsi" w:hAnsiTheme="majorHAnsi" w:cs="Helvetica"/>
          <w:b/>
          <w:sz w:val="24"/>
          <w:lang w:val="es-CR" w:eastAsia="es-CR"/>
        </w:rPr>
        <w:t>Banca en línea</w:t>
      </w:r>
      <w:r w:rsidRPr="00CA72A2">
        <w:rPr>
          <w:rFonts w:asciiTheme="majorHAnsi" w:hAnsiTheme="majorHAnsi"/>
          <w:sz w:val="24"/>
        </w:rPr>
        <w:t xml:space="preserve"> es uno de los canales de banca electrónica que comprende aquellas herramientas que ofrece una entidad para que sus clientes hagan sus transacciones bancarias utilizando para ello una computadora con conexión a la red Internet.</w:t>
      </w:r>
    </w:p>
    <w:p w14:paraId="20709E39" w14:textId="77777777" w:rsidR="00350287" w:rsidRPr="00CA72A2" w:rsidRDefault="00350287" w:rsidP="00350287">
      <w:pPr>
        <w:widowControl w:val="0"/>
        <w:spacing w:line="240" w:lineRule="auto"/>
        <w:ind w:left="33"/>
        <w:rPr>
          <w:rFonts w:asciiTheme="majorHAnsi" w:hAnsiTheme="majorHAnsi"/>
          <w:sz w:val="24"/>
        </w:rPr>
      </w:pPr>
    </w:p>
    <w:p w14:paraId="1B72AE27" w14:textId="77777777" w:rsidR="00350287" w:rsidRPr="00CA72A2" w:rsidRDefault="00350287" w:rsidP="00350287">
      <w:pPr>
        <w:pStyle w:val="NormalWeb"/>
        <w:spacing w:before="0" w:beforeAutospacing="0" w:after="0" w:afterAutospacing="0"/>
        <w:ind w:left="33"/>
        <w:jc w:val="both"/>
        <w:rPr>
          <w:rFonts w:asciiTheme="majorHAnsi" w:hAnsiTheme="majorHAnsi" w:cs="Arial"/>
          <w:b/>
          <w:sz w:val="24"/>
          <w:szCs w:val="24"/>
          <w:lang w:val="es-CR"/>
        </w:rPr>
      </w:pPr>
      <w:r w:rsidRPr="00CA72A2">
        <w:rPr>
          <w:rFonts w:asciiTheme="majorHAnsi" w:hAnsiTheme="majorHAnsi" w:cs="Arial"/>
          <w:b/>
          <w:sz w:val="24"/>
          <w:szCs w:val="24"/>
          <w:lang w:val="es-CR"/>
        </w:rPr>
        <w:t>Certificado Digital de Persona Física (Autenticación):</w:t>
      </w:r>
      <w:r w:rsidRPr="00CA72A2">
        <w:rPr>
          <w:rFonts w:asciiTheme="majorHAnsi" w:hAnsiTheme="majorHAnsi"/>
          <w:sz w:val="24"/>
          <w:szCs w:val="24"/>
          <w:lang w:val="es-CR"/>
        </w:rPr>
        <w:t xml:space="preserve"> Archivo electrónico que permite a las personas físicas realizar procesos de autenticación (demostración de la identidad) que las vinculan jurídicamente al amparo de la Ley número 8454.</w:t>
      </w:r>
    </w:p>
    <w:p w14:paraId="198FBF8C" w14:textId="77777777" w:rsidR="00350287" w:rsidRPr="00CA72A2" w:rsidRDefault="00350287" w:rsidP="00350287">
      <w:pPr>
        <w:pStyle w:val="NormalWeb"/>
        <w:spacing w:before="0" w:beforeAutospacing="0" w:after="0" w:afterAutospacing="0"/>
        <w:ind w:left="33"/>
        <w:jc w:val="both"/>
        <w:rPr>
          <w:rFonts w:asciiTheme="majorHAnsi" w:hAnsiTheme="majorHAnsi" w:cs="Arial"/>
          <w:b/>
          <w:sz w:val="24"/>
          <w:szCs w:val="24"/>
          <w:lang w:val="es-CR"/>
        </w:rPr>
      </w:pPr>
    </w:p>
    <w:p w14:paraId="3AB42C3C" w14:textId="77777777" w:rsidR="00350287" w:rsidRPr="00CA72A2" w:rsidRDefault="00350287" w:rsidP="00350287">
      <w:pPr>
        <w:pStyle w:val="NormalWeb"/>
        <w:spacing w:before="0" w:beforeAutospacing="0" w:after="0" w:afterAutospacing="0"/>
        <w:ind w:left="33"/>
        <w:jc w:val="both"/>
        <w:rPr>
          <w:rFonts w:asciiTheme="majorHAnsi" w:hAnsiTheme="majorHAnsi" w:cs="Arial"/>
          <w:b/>
          <w:sz w:val="24"/>
          <w:szCs w:val="24"/>
          <w:lang w:val="es-CR"/>
        </w:rPr>
      </w:pPr>
      <w:r w:rsidRPr="00CA72A2">
        <w:rPr>
          <w:rFonts w:asciiTheme="majorHAnsi" w:hAnsiTheme="majorHAnsi" w:cs="Arial"/>
          <w:b/>
          <w:sz w:val="24"/>
          <w:szCs w:val="24"/>
          <w:lang w:val="es-CR"/>
        </w:rPr>
        <w:t>Certificado Digital de Persona Física (Firma):</w:t>
      </w:r>
      <w:r w:rsidRPr="00CA72A2">
        <w:rPr>
          <w:rFonts w:asciiTheme="majorHAnsi" w:hAnsiTheme="majorHAnsi"/>
          <w:sz w:val="24"/>
          <w:szCs w:val="24"/>
          <w:lang w:val="es-CR"/>
        </w:rPr>
        <w:t xml:space="preserve"> Archivo electrónico que permite a las personas físicas realizar procesos de firma digital (manifestación de la voluntad) que las vinculan jurídicamente al amparo de la Ley número 8454.</w:t>
      </w:r>
    </w:p>
    <w:p w14:paraId="2D11D37D" w14:textId="77777777" w:rsidR="00350287" w:rsidRPr="00CA72A2" w:rsidRDefault="00350287" w:rsidP="00350287">
      <w:pPr>
        <w:pStyle w:val="NormalWeb"/>
        <w:spacing w:before="0" w:beforeAutospacing="0" w:after="0" w:afterAutospacing="0"/>
        <w:ind w:left="33"/>
        <w:jc w:val="both"/>
        <w:rPr>
          <w:rFonts w:asciiTheme="majorHAnsi" w:hAnsiTheme="majorHAnsi" w:cs="Arial"/>
          <w:b/>
          <w:sz w:val="24"/>
          <w:szCs w:val="24"/>
          <w:lang w:val="es-CR"/>
        </w:rPr>
      </w:pPr>
    </w:p>
    <w:p w14:paraId="1FEB2626" w14:textId="77777777" w:rsidR="00350287" w:rsidRPr="00CA72A2" w:rsidRDefault="00350287" w:rsidP="00350287">
      <w:pPr>
        <w:pStyle w:val="NormalWeb"/>
        <w:spacing w:before="0" w:beforeAutospacing="0" w:after="0" w:afterAutospacing="0"/>
        <w:ind w:left="33"/>
        <w:jc w:val="both"/>
        <w:rPr>
          <w:rFonts w:asciiTheme="majorHAnsi" w:hAnsiTheme="majorHAnsi" w:cs="Arial"/>
          <w:b/>
          <w:sz w:val="24"/>
          <w:szCs w:val="24"/>
          <w:lang w:val="es-CR"/>
        </w:rPr>
      </w:pPr>
      <w:r w:rsidRPr="00CA72A2">
        <w:rPr>
          <w:rFonts w:asciiTheme="majorHAnsi" w:hAnsiTheme="majorHAnsi" w:cs="Arial"/>
          <w:b/>
          <w:sz w:val="24"/>
          <w:szCs w:val="24"/>
          <w:lang w:val="es-CR"/>
        </w:rPr>
        <w:t>Certificado Digital de Persona Jurídica (Sello Electrónico):</w:t>
      </w:r>
      <w:r w:rsidRPr="00CA72A2">
        <w:rPr>
          <w:rFonts w:asciiTheme="majorHAnsi" w:hAnsiTheme="majorHAnsi"/>
          <w:sz w:val="24"/>
          <w:szCs w:val="24"/>
          <w:lang w:val="es-CR"/>
        </w:rPr>
        <w:t xml:space="preserve"> Archivo electrónico que permite a las personas jurídicas realizar procesos de sello electrónico que las comprometen jurídicamente al amparo de la Ley número 8454</w:t>
      </w:r>
    </w:p>
    <w:p w14:paraId="1B233B13" w14:textId="77777777" w:rsidR="00350287" w:rsidRPr="00CA72A2" w:rsidRDefault="00350287" w:rsidP="00350287">
      <w:pPr>
        <w:pStyle w:val="NormalWeb"/>
        <w:spacing w:before="0" w:beforeAutospacing="0" w:after="0" w:afterAutospacing="0"/>
        <w:ind w:left="33"/>
        <w:jc w:val="both"/>
        <w:rPr>
          <w:rFonts w:asciiTheme="majorHAnsi" w:hAnsiTheme="majorHAnsi" w:cs="Arial"/>
          <w:b/>
          <w:sz w:val="24"/>
          <w:szCs w:val="24"/>
          <w:lang w:val="es-CR"/>
        </w:rPr>
      </w:pPr>
    </w:p>
    <w:p w14:paraId="319E1561" w14:textId="77777777" w:rsidR="00350287" w:rsidRPr="00CA72A2" w:rsidRDefault="00350287" w:rsidP="00350287">
      <w:pPr>
        <w:pStyle w:val="NormalWeb"/>
        <w:spacing w:before="0" w:beforeAutospacing="0" w:after="0" w:afterAutospacing="0"/>
        <w:ind w:left="33"/>
        <w:jc w:val="both"/>
        <w:rPr>
          <w:rFonts w:asciiTheme="majorHAnsi" w:hAnsiTheme="majorHAnsi" w:cs="Arial"/>
          <w:b/>
          <w:sz w:val="24"/>
          <w:szCs w:val="24"/>
          <w:lang w:val="es-CR"/>
        </w:rPr>
      </w:pPr>
      <w:r w:rsidRPr="00CA72A2">
        <w:rPr>
          <w:rFonts w:asciiTheme="majorHAnsi" w:hAnsiTheme="majorHAnsi" w:cs="Arial"/>
          <w:b/>
          <w:sz w:val="24"/>
          <w:szCs w:val="24"/>
          <w:lang w:val="es-CR"/>
        </w:rPr>
        <w:lastRenderedPageBreak/>
        <w:t>Dirección de Certificadores de Firma Digital (DCFD):</w:t>
      </w:r>
      <w:r w:rsidRPr="00CA72A2">
        <w:rPr>
          <w:rFonts w:asciiTheme="majorHAnsi" w:hAnsiTheme="majorHAnsi"/>
          <w:sz w:val="24"/>
          <w:szCs w:val="24"/>
          <w:lang w:val="es-CR"/>
        </w:rPr>
        <w:t xml:space="preserve"> Dirección adscrita al MICITT, creada por la Ley número 8454, encargada de la emisión de las políticas de certificación en el país.</w:t>
      </w:r>
    </w:p>
    <w:p w14:paraId="18A6FD09" w14:textId="77777777" w:rsidR="00350287" w:rsidRDefault="00350287" w:rsidP="00350287">
      <w:pPr>
        <w:pStyle w:val="NormalWeb"/>
        <w:widowControl w:val="0"/>
        <w:spacing w:before="0" w:beforeAutospacing="0" w:after="0" w:afterAutospacing="0"/>
        <w:ind w:left="33"/>
        <w:jc w:val="both"/>
        <w:rPr>
          <w:rFonts w:asciiTheme="majorHAnsi" w:hAnsiTheme="majorHAnsi" w:cs="Arial"/>
          <w:b/>
          <w:sz w:val="24"/>
          <w:szCs w:val="24"/>
          <w:lang w:val="es-CR"/>
        </w:rPr>
      </w:pPr>
    </w:p>
    <w:p w14:paraId="32086C35" w14:textId="3F96E4CB" w:rsidR="00C149D9" w:rsidRDefault="00C149D9" w:rsidP="00350287">
      <w:pPr>
        <w:pStyle w:val="NormalWeb"/>
        <w:widowControl w:val="0"/>
        <w:spacing w:before="0" w:beforeAutospacing="0" w:after="0" w:afterAutospacing="0"/>
        <w:ind w:left="33"/>
        <w:jc w:val="both"/>
        <w:rPr>
          <w:rFonts w:asciiTheme="majorHAnsi" w:hAnsiTheme="majorHAnsi" w:cs="Arial"/>
          <w:b/>
          <w:sz w:val="24"/>
          <w:szCs w:val="24"/>
          <w:lang w:val="es-CR"/>
        </w:rPr>
      </w:pPr>
    </w:p>
    <w:p w14:paraId="49543C37" w14:textId="77777777" w:rsidR="00C149D9" w:rsidRPr="00CA72A2" w:rsidRDefault="00C149D9" w:rsidP="00350287">
      <w:pPr>
        <w:pStyle w:val="NormalWeb"/>
        <w:widowControl w:val="0"/>
        <w:spacing w:before="0" w:beforeAutospacing="0" w:after="0" w:afterAutospacing="0"/>
        <w:ind w:left="33"/>
        <w:jc w:val="both"/>
        <w:rPr>
          <w:rFonts w:asciiTheme="majorHAnsi" w:hAnsiTheme="majorHAnsi" w:cs="Arial"/>
          <w:b/>
          <w:sz w:val="24"/>
          <w:szCs w:val="24"/>
          <w:lang w:val="es-CR"/>
        </w:rPr>
      </w:pPr>
    </w:p>
    <w:p w14:paraId="59461118" w14:textId="77777777" w:rsidR="00350287" w:rsidRPr="00CA72A2" w:rsidRDefault="00350287" w:rsidP="00350287">
      <w:pPr>
        <w:pStyle w:val="NormalWeb"/>
        <w:widowControl w:val="0"/>
        <w:spacing w:before="0" w:beforeAutospacing="0" w:after="0" w:afterAutospacing="0"/>
        <w:ind w:left="33"/>
        <w:jc w:val="both"/>
        <w:rPr>
          <w:rFonts w:asciiTheme="majorHAnsi" w:hAnsiTheme="majorHAnsi" w:cs="Arial"/>
          <w:b/>
          <w:sz w:val="24"/>
          <w:szCs w:val="24"/>
          <w:lang w:val="es-CR"/>
        </w:rPr>
      </w:pPr>
      <w:r w:rsidRPr="00CA72A2">
        <w:rPr>
          <w:rFonts w:asciiTheme="majorHAnsi" w:hAnsiTheme="majorHAnsi" w:cs="Arial"/>
          <w:b/>
          <w:sz w:val="24"/>
          <w:szCs w:val="24"/>
          <w:lang w:val="es-CR"/>
        </w:rPr>
        <w:t xml:space="preserve">Firma digital: </w:t>
      </w:r>
      <w:r w:rsidRPr="00CA72A2">
        <w:rPr>
          <w:rFonts w:asciiTheme="majorHAnsi" w:hAnsiTheme="majorHAnsi"/>
          <w:sz w:val="24"/>
          <w:szCs w:val="24"/>
          <w:lang w:val="es-CR"/>
        </w:rPr>
        <w:t xml:space="preserve">mecanismo criptográfico que permite al receptor de un medio electrónico identificar formalmente a su autor, </w:t>
      </w:r>
      <w:r w:rsidRPr="00CA72A2">
        <w:rPr>
          <w:rFonts w:asciiTheme="majorHAnsi" w:hAnsiTheme="majorHAnsi" w:cs="Arial"/>
          <w:sz w:val="24"/>
          <w:szCs w:val="24"/>
          <w:lang w:val="es-CR"/>
        </w:rPr>
        <w:t>garantiza la autoría (identidad del firmante) y la integridad del documento electrónico (no alterado desde que fue firmado por el originador).</w:t>
      </w:r>
    </w:p>
    <w:p w14:paraId="700AA2DA" w14:textId="77777777" w:rsidR="00350287" w:rsidRPr="00CA72A2" w:rsidRDefault="00350287" w:rsidP="00350287">
      <w:pPr>
        <w:autoSpaceDE w:val="0"/>
        <w:autoSpaceDN w:val="0"/>
        <w:adjustRightInd w:val="0"/>
        <w:spacing w:line="240" w:lineRule="auto"/>
        <w:ind w:left="33"/>
        <w:rPr>
          <w:rFonts w:asciiTheme="majorHAnsi" w:hAnsiTheme="majorHAnsi" w:cs="Helvetica"/>
          <w:b/>
          <w:sz w:val="24"/>
          <w:lang w:val="es-CR" w:eastAsia="es-CR"/>
        </w:rPr>
      </w:pPr>
    </w:p>
    <w:p w14:paraId="63167CEE" w14:textId="77777777" w:rsidR="00350287" w:rsidRPr="00CA72A2" w:rsidRDefault="00350287" w:rsidP="00350287">
      <w:pPr>
        <w:autoSpaceDE w:val="0"/>
        <w:autoSpaceDN w:val="0"/>
        <w:adjustRightInd w:val="0"/>
        <w:spacing w:line="240" w:lineRule="auto"/>
        <w:ind w:left="33"/>
        <w:rPr>
          <w:rFonts w:asciiTheme="majorHAnsi" w:hAnsiTheme="majorHAnsi" w:cs="Helvetica"/>
          <w:b/>
          <w:sz w:val="24"/>
          <w:lang w:val="es-CR" w:eastAsia="es-CR"/>
        </w:rPr>
      </w:pPr>
      <w:r w:rsidRPr="00CA72A2">
        <w:rPr>
          <w:rFonts w:asciiTheme="majorHAnsi" w:hAnsiTheme="majorHAnsi" w:cs="Helvetica"/>
          <w:b/>
          <w:sz w:val="24"/>
          <w:lang w:val="es-CR" w:eastAsia="es-CR"/>
        </w:rPr>
        <w:t>Medios o Canales electrónicos:</w:t>
      </w:r>
      <w:r w:rsidRPr="00CA72A2">
        <w:rPr>
          <w:rFonts w:asciiTheme="majorHAnsi" w:hAnsiTheme="majorHAnsi"/>
          <w:sz w:val="24"/>
        </w:rPr>
        <w:t xml:space="preserve"> Dispositivos, redes y servicios informáticos dispuestos por las entidades financieras, por sí o por intermedio de terceros, para la instrucción, consulta, registro, protección, procesamiento y/o almacenamiento de datos de clientes y sus transacciones bancarias.</w:t>
      </w:r>
    </w:p>
    <w:p w14:paraId="70C39A7D" w14:textId="77777777" w:rsidR="00350287" w:rsidRPr="00CA72A2" w:rsidRDefault="00350287" w:rsidP="00350287">
      <w:pPr>
        <w:pStyle w:val="NormalWeb"/>
        <w:spacing w:before="0" w:beforeAutospacing="0" w:after="0" w:afterAutospacing="0"/>
        <w:ind w:left="33"/>
        <w:jc w:val="both"/>
        <w:rPr>
          <w:rFonts w:asciiTheme="majorHAnsi" w:hAnsiTheme="majorHAnsi" w:cs="Arial"/>
          <w:b/>
          <w:sz w:val="24"/>
          <w:szCs w:val="24"/>
          <w:lang w:val="es-CR"/>
        </w:rPr>
      </w:pPr>
    </w:p>
    <w:p w14:paraId="1B0A9A0F" w14:textId="77777777" w:rsidR="00350287" w:rsidRPr="00CA72A2" w:rsidRDefault="00350287" w:rsidP="00350287">
      <w:pPr>
        <w:pStyle w:val="NormalWeb"/>
        <w:spacing w:before="0" w:beforeAutospacing="0" w:after="0" w:afterAutospacing="0"/>
        <w:ind w:left="33"/>
        <w:jc w:val="both"/>
        <w:rPr>
          <w:rFonts w:asciiTheme="majorHAnsi" w:hAnsiTheme="majorHAnsi" w:cs="Arial"/>
          <w:b/>
          <w:sz w:val="24"/>
          <w:szCs w:val="24"/>
          <w:lang w:val="es-CR"/>
        </w:rPr>
      </w:pPr>
      <w:r w:rsidRPr="00CA72A2">
        <w:rPr>
          <w:rFonts w:asciiTheme="majorHAnsi" w:hAnsiTheme="majorHAnsi" w:cs="Arial"/>
          <w:b/>
          <w:sz w:val="24"/>
          <w:szCs w:val="24"/>
          <w:lang w:val="es-CR"/>
        </w:rPr>
        <w:t>Ministerio de Ciencia, Tecnología y Telecomunicaciones (MICITT):</w:t>
      </w:r>
      <w:r w:rsidRPr="00CA72A2">
        <w:rPr>
          <w:rFonts w:asciiTheme="majorHAnsi" w:hAnsiTheme="majorHAnsi"/>
          <w:sz w:val="24"/>
          <w:szCs w:val="24"/>
          <w:lang w:val="es-CR"/>
        </w:rPr>
        <w:t xml:space="preserve"> Con base en la Ley Nº 8454, el ente regulador y supervisor del Sistema Nacional de Certificación Digital.</w:t>
      </w:r>
    </w:p>
    <w:p w14:paraId="00C4F39D" w14:textId="77777777" w:rsidR="00350287" w:rsidRPr="00CA72A2" w:rsidRDefault="00350287" w:rsidP="00350287">
      <w:pPr>
        <w:pStyle w:val="NormalWeb"/>
        <w:spacing w:before="0" w:beforeAutospacing="0" w:after="0" w:afterAutospacing="0"/>
        <w:ind w:left="33"/>
        <w:jc w:val="both"/>
        <w:rPr>
          <w:rFonts w:asciiTheme="majorHAnsi" w:hAnsiTheme="majorHAnsi" w:cs="Arial"/>
          <w:b/>
          <w:sz w:val="24"/>
          <w:szCs w:val="24"/>
          <w:lang w:val="es-CR"/>
        </w:rPr>
      </w:pPr>
    </w:p>
    <w:p w14:paraId="1EC2906D" w14:textId="77777777" w:rsidR="00350287" w:rsidRPr="00CA72A2" w:rsidRDefault="00350287" w:rsidP="00350287">
      <w:pPr>
        <w:pStyle w:val="NormalWeb"/>
        <w:spacing w:before="0" w:beforeAutospacing="0" w:after="0" w:afterAutospacing="0"/>
        <w:ind w:left="33"/>
        <w:jc w:val="both"/>
        <w:rPr>
          <w:rFonts w:asciiTheme="majorHAnsi" w:hAnsiTheme="majorHAnsi" w:cs="Arial"/>
          <w:b/>
          <w:sz w:val="24"/>
          <w:szCs w:val="24"/>
          <w:lang w:val="es-CR"/>
        </w:rPr>
      </w:pPr>
      <w:r w:rsidRPr="00CA72A2">
        <w:rPr>
          <w:rFonts w:asciiTheme="majorHAnsi" w:hAnsiTheme="majorHAnsi" w:cs="Arial"/>
          <w:b/>
          <w:sz w:val="24"/>
          <w:szCs w:val="24"/>
          <w:lang w:val="es-CR"/>
        </w:rPr>
        <w:t xml:space="preserve">Política de formatos oficiales de los documentos electrónicos firmados digitalmente: </w:t>
      </w:r>
      <w:r w:rsidRPr="00CA72A2">
        <w:rPr>
          <w:rFonts w:asciiTheme="majorHAnsi" w:hAnsiTheme="majorHAnsi"/>
          <w:sz w:val="24"/>
          <w:szCs w:val="24"/>
          <w:lang w:val="es-CR"/>
        </w:rPr>
        <w:t xml:space="preserve">directrices sobre los requisitos que deben cumplir los formatos avanzados de documentos electrónicos firmados digitalmente, los cuales permiten que se consigne en ellos, una “firma de larga duración”.  Implica que la verificación de la firma perdura en el tiempo, para lo cual, además del correspondiente hash (resumen criptográfico del documento), se consigna, previa consulta a la Autoridad Certificadora, la validez del certificado en el </w:t>
      </w:r>
      <w:r w:rsidRPr="00CA72A2">
        <w:rPr>
          <w:rFonts w:asciiTheme="majorHAnsi" w:hAnsiTheme="majorHAnsi"/>
          <w:sz w:val="24"/>
          <w:szCs w:val="24"/>
          <w:lang w:val="es-CR"/>
        </w:rPr>
        <w:lastRenderedPageBreak/>
        <w:t>momento de la firma y una estampa de tiempo mediante la que, un tercero de confianza (una autoridad de estampado), ubica fehacientemente el documento en el tiempo,</w:t>
      </w:r>
      <w:r w:rsidRPr="00CA72A2">
        <w:rPr>
          <w:rFonts w:asciiTheme="majorHAnsi" w:hAnsiTheme="majorHAnsi"/>
          <w:color w:val="FF0000"/>
          <w:sz w:val="24"/>
          <w:szCs w:val="24"/>
          <w:lang w:val="es-CR"/>
        </w:rPr>
        <w:t xml:space="preserve"> </w:t>
      </w:r>
      <w:r w:rsidRPr="00CA72A2">
        <w:rPr>
          <w:rFonts w:asciiTheme="majorHAnsi" w:hAnsiTheme="majorHAnsi"/>
          <w:sz w:val="24"/>
          <w:szCs w:val="24"/>
          <w:lang w:val="es-CR"/>
        </w:rPr>
        <w:t>publicados por el Ministerio de Ciencia, Tecnología y Telecomunicaciones y la Dirección de Certificadores de Firma Digital.</w:t>
      </w:r>
    </w:p>
    <w:p w14:paraId="292B5687" w14:textId="77777777" w:rsidR="00350287" w:rsidRPr="00CA72A2" w:rsidRDefault="00350287" w:rsidP="00350287">
      <w:pPr>
        <w:widowControl w:val="0"/>
        <w:spacing w:line="240" w:lineRule="auto"/>
        <w:ind w:left="33"/>
        <w:rPr>
          <w:rFonts w:asciiTheme="majorHAnsi" w:hAnsiTheme="majorHAnsi" w:cs="Helvetica"/>
          <w:b/>
          <w:sz w:val="24"/>
          <w:lang w:val="es-CR" w:eastAsia="es-CR"/>
        </w:rPr>
      </w:pPr>
    </w:p>
    <w:p w14:paraId="7EA34F78" w14:textId="77777777" w:rsidR="00350287" w:rsidRPr="00CA72A2" w:rsidRDefault="00350287" w:rsidP="00350287">
      <w:pPr>
        <w:widowControl w:val="0"/>
        <w:spacing w:line="240" w:lineRule="auto"/>
        <w:ind w:left="33"/>
        <w:rPr>
          <w:rFonts w:asciiTheme="majorHAnsi" w:hAnsiTheme="majorHAnsi" w:cs="Helvetica"/>
          <w:b/>
          <w:sz w:val="24"/>
          <w:lang w:val="es-CR" w:eastAsia="es-CR"/>
        </w:rPr>
      </w:pPr>
      <w:r w:rsidRPr="00CA72A2">
        <w:rPr>
          <w:rFonts w:asciiTheme="majorHAnsi" w:hAnsiTheme="majorHAnsi" w:cs="Helvetica"/>
          <w:b/>
          <w:sz w:val="24"/>
          <w:lang w:val="es-CR" w:eastAsia="es-CR"/>
        </w:rPr>
        <w:t xml:space="preserve">Productos y servicios financieros: </w:t>
      </w:r>
      <w:r w:rsidRPr="00CA72A2">
        <w:rPr>
          <w:rFonts w:asciiTheme="majorHAnsi" w:hAnsiTheme="majorHAnsi"/>
          <w:sz w:val="24"/>
        </w:rPr>
        <w:t>Cualquier transacción que se manifieste en activos o pasivos financieros independientemente de la figura jurídica o contractual que se utilice y del tipo de documento, registro electrónico u otro análogo en el que dichas transacciones se formalicen.</w:t>
      </w:r>
    </w:p>
    <w:p w14:paraId="5A2CAFA8" w14:textId="77777777" w:rsidR="00350287" w:rsidRPr="00CA72A2" w:rsidRDefault="00350287" w:rsidP="00350287">
      <w:pPr>
        <w:pStyle w:val="NormalWeb"/>
        <w:spacing w:before="0" w:beforeAutospacing="0" w:after="0" w:afterAutospacing="0"/>
        <w:ind w:left="33"/>
        <w:jc w:val="both"/>
        <w:rPr>
          <w:rFonts w:asciiTheme="majorHAnsi" w:hAnsiTheme="majorHAnsi" w:cs="Arial"/>
          <w:b/>
          <w:sz w:val="24"/>
          <w:szCs w:val="24"/>
          <w:lang w:val="es-CR"/>
        </w:rPr>
      </w:pPr>
    </w:p>
    <w:p w14:paraId="7F5BA867" w14:textId="77777777" w:rsidR="00350287" w:rsidRPr="00CA72A2" w:rsidRDefault="00350287" w:rsidP="00350287">
      <w:pPr>
        <w:pStyle w:val="NormalWeb"/>
        <w:spacing w:before="0" w:beforeAutospacing="0" w:after="0" w:afterAutospacing="0"/>
        <w:ind w:left="33"/>
        <w:jc w:val="both"/>
        <w:rPr>
          <w:rFonts w:asciiTheme="majorHAnsi" w:hAnsiTheme="majorHAnsi"/>
          <w:sz w:val="24"/>
          <w:szCs w:val="24"/>
          <w:lang w:val="es-CR"/>
        </w:rPr>
      </w:pPr>
      <w:r w:rsidRPr="00CA72A2">
        <w:rPr>
          <w:rFonts w:asciiTheme="majorHAnsi" w:hAnsiTheme="majorHAnsi" w:cs="Arial"/>
          <w:b/>
          <w:sz w:val="24"/>
          <w:szCs w:val="24"/>
          <w:lang w:val="es-CR"/>
        </w:rPr>
        <w:t>Sistema Nacional de Certificación Digital (SNCD):</w:t>
      </w:r>
      <w:r w:rsidRPr="00CA72A2">
        <w:rPr>
          <w:rFonts w:asciiTheme="majorHAnsi" w:hAnsiTheme="majorHAnsi" w:cs="Arial"/>
          <w:b/>
          <w:i/>
          <w:sz w:val="24"/>
          <w:szCs w:val="24"/>
          <w:lang w:val="es-CR"/>
        </w:rPr>
        <w:t xml:space="preserve"> </w:t>
      </w:r>
      <w:r w:rsidRPr="00CA72A2">
        <w:rPr>
          <w:rFonts w:asciiTheme="majorHAnsi" w:hAnsiTheme="majorHAnsi"/>
          <w:sz w:val="24"/>
          <w:szCs w:val="24"/>
          <w:lang w:val="es-CR"/>
        </w:rPr>
        <w:t>En atención a lo estipulado en la Ley número 8454, el MICITT, a través de la DCFD, implementó el SNCD como una jerarquía nacional que emite certificados para Persona Física (con propósitos de Autenticación y Firma), certificados para Persona Jurídica (con propósitos de Sello Electrónico y Agente Electrónico) y certificados de Estampado de Tiempo. El SNCD contempla las Políticas de Certificación, los Estándares de Certificación, las Autoridades Certificadoras (incluida la Autoridad Raíz Nacional), y las Oficinas de Registros requeridas para la emisión de certificados a personas físicas y jurídicas.</w:t>
      </w:r>
    </w:p>
    <w:p w14:paraId="7A587897" w14:textId="77777777" w:rsidR="00350287" w:rsidRDefault="00350287" w:rsidP="00350287">
      <w:pPr>
        <w:pStyle w:val="NormalWeb"/>
        <w:spacing w:before="0" w:beforeAutospacing="0" w:after="0" w:afterAutospacing="0"/>
        <w:ind w:left="33"/>
        <w:jc w:val="both"/>
        <w:rPr>
          <w:rFonts w:asciiTheme="majorHAnsi" w:hAnsiTheme="majorHAnsi" w:cs="Arial"/>
          <w:b/>
          <w:sz w:val="24"/>
          <w:szCs w:val="24"/>
          <w:lang w:val="es-CR"/>
        </w:rPr>
      </w:pPr>
    </w:p>
    <w:p w14:paraId="0688837C" w14:textId="77777777" w:rsidR="00C149D9" w:rsidRPr="00CA72A2" w:rsidRDefault="00C149D9" w:rsidP="00350287">
      <w:pPr>
        <w:pStyle w:val="NormalWeb"/>
        <w:spacing w:before="0" w:beforeAutospacing="0" w:after="0" w:afterAutospacing="0"/>
        <w:ind w:left="33"/>
        <w:jc w:val="both"/>
        <w:rPr>
          <w:rFonts w:asciiTheme="majorHAnsi" w:hAnsiTheme="majorHAnsi" w:cs="Arial"/>
          <w:b/>
          <w:sz w:val="24"/>
          <w:szCs w:val="24"/>
          <w:lang w:val="es-CR"/>
        </w:rPr>
      </w:pPr>
    </w:p>
    <w:p w14:paraId="2F173EC1" w14:textId="77777777" w:rsidR="00350287" w:rsidRPr="00CA72A2" w:rsidRDefault="00350287" w:rsidP="00350287">
      <w:pPr>
        <w:widowControl w:val="0"/>
        <w:shd w:val="clear" w:color="auto" w:fill="D9D9D9"/>
        <w:spacing w:line="240" w:lineRule="auto"/>
        <w:ind w:left="33"/>
        <w:rPr>
          <w:rFonts w:asciiTheme="majorHAnsi" w:hAnsiTheme="majorHAnsi"/>
          <w:b/>
          <w:sz w:val="24"/>
        </w:rPr>
      </w:pPr>
      <w:r w:rsidRPr="00CA72A2">
        <w:rPr>
          <w:rFonts w:asciiTheme="majorHAnsi" w:hAnsiTheme="majorHAnsi"/>
          <w:b/>
          <w:sz w:val="24"/>
        </w:rPr>
        <w:t xml:space="preserve">4.2 Autenticación y Autorización de Transacciones </w:t>
      </w:r>
    </w:p>
    <w:p w14:paraId="29CF3C5E" w14:textId="77777777" w:rsidR="00350287" w:rsidRPr="00CA72A2" w:rsidRDefault="00350287" w:rsidP="00350287">
      <w:pPr>
        <w:pStyle w:val="Textosinformato"/>
        <w:ind w:left="33"/>
        <w:jc w:val="both"/>
        <w:rPr>
          <w:rFonts w:asciiTheme="majorHAnsi" w:eastAsia="Arial Unicode MS" w:hAnsiTheme="majorHAnsi" w:cs="Arial Unicode MS"/>
          <w:sz w:val="24"/>
          <w:szCs w:val="24"/>
          <w:lang w:val="es-CR"/>
        </w:rPr>
      </w:pPr>
    </w:p>
    <w:p w14:paraId="4A5217F6" w14:textId="2086F7C3" w:rsidR="00EE5107" w:rsidRPr="00204EA7" w:rsidRDefault="00EE5107" w:rsidP="00EE5107">
      <w:pPr>
        <w:rPr>
          <w:rFonts w:asciiTheme="majorHAnsi" w:hAnsiTheme="majorHAnsi"/>
          <w:sz w:val="24"/>
        </w:rPr>
      </w:pPr>
      <w:r w:rsidRPr="00EE5107">
        <w:rPr>
          <w:rFonts w:asciiTheme="majorHAnsi" w:hAnsiTheme="majorHAnsi"/>
          <w:sz w:val="24"/>
        </w:rPr>
        <w:t>Con el fin de dotar de una mayor seguridad jurídica a las transacciones realizadas mediante la banca en línea, las entidades supervisadas que ofrezcan servicios por este canal electrónico, sin detrimento de otros medios de au</w:t>
      </w:r>
      <w:r w:rsidRPr="00EE5107">
        <w:rPr>
          <w:rFonts w:asciiTheme="majorHAnsi" w:hAnsiTheme="majorHAnsi"/>
          <w:sz w:val="24"/>
        </w:rPr>
        <w:lastRenderedPageBreak/>
        <w:t>tenticación y autorización de transacciones implementados por la entidad,  deben tener preparada dicha plataforma para que toda persona física o jurídica que posea un certificado digital emitido a través de la infraestructura del Sistema Nacional de Certificación Digital, y que acceda por medio de computadoras pueda alternativamente, autenticarse en el sitio web y firmar digitalmente las transacci</w:t>
      </w:r>
      <w:r w:rsidR="00783B00">
        <w:rPr>
          <w:rFonts w:asciiTheme="majorHAnsi" w:hAnsiTheme="majorHAnsi"/>
          <w:sz w:val="24"/>
        </w:rPr>
        <w:t xml:space="preserve">ones mediante dicho mecanismo, </w:t>
      </w:r>
      <w:r w:rsidRPr="00204EA7">
        <w:rPr>
          <w:rFonts w:asciiTheme="majorHAnsi" w:hAnsiTheme="majorHAnsi"/>
          <w:sz w:val="24"/>
        </w:rPr>
        <w:t>a más tardar,</w:t>
      </w:r>
      <w:r w:rsidRPr="00EE5107">
        <w:rPr>
          <w:rFonts w:asciiTheme="majorHAnsi" w:hAnsiTheme="majorHAnsi"/>
          <w:sz w:val="24"/>
        </w:rPr>
        <w:t xml:space="preserve"> </w:t>
      </w:r>
      <w:r w:rsidRPr="00204EA7">
        <w:rPr>
          <w:rFonts w:asciiTheme="majorHAnsi" w:hAnsiTheme="majorHAnsi"/>
          <w:sz w:val="24"/>
        </w:rPr>
        <w:t xml:space="preserve">24 meses </w:t>
      </w:r>
      <w:r w:rsidR="00A208C2">
        <w:rPr>
          <w:rFonts w:asciiTheme="majorHAnsi" w:hAnsiTheme="majorHAnsi"/>
          <w:sz w:val="24"/>
        </w:rPr>
        <w:t xml:space="preserve">a partir de </w:t>
      </w:r>
      <w:r w:rsidRPr="00204EA7">
        <w:rPr>
          <w:rFonts w:asciiTheme="majorHAnsi" w:hAnsiTheme="majorHAnsi"/>
          <w:sz w:val="24"/>
        </w:rPr>
        <w:t>la entrada en vigencia del reglamento. Las acciones para su puesta en marcha deben formar parte del plan de actividades a que se refiere el Transitorio I del Reglamento del Acuerdo SUGEF 18-16.</w:t>
      </w:r>
    </w:p>
    <w:p w14:paraId="3A9EFA6B" w14:textId="77777777" w:rsidR="00A208C2" w:rsidRDefault="00A208C2" w:rsidP="00EE5107">
      <w:pPr>
        <w:pStyle w:val="Textosinformato"/>
        <w:ind w:left="33"/>
        <w:jc w:val="both"/>
        <w:rPr>
          <w:rFonts w:asciiTheme="majorHAnsi" w:hAnsiTheme="majorHAnsi" w:cs="Times New Roman"/>
          <w:sz w:val="24"/>
          <w:szCs w:val="24"/>
          <w:lang w:val="es-ES"/>
        </w:rPr>
      </w:pPr>
    </w:p>
    <w:p w14:paraId="528EB21E" w14:textId="786C28DF" w:rsidR="00EE5107" w:rsidRPr="00204EA7" w:rsidRDefault="00EE5107" w:rsidP="00EE5107">
      <w:pPr>
        <w:pStyle w:val="Textosinformato"/>
        <w:ind w:left="33"/>
        <w:jc w:val="both"/>
        <w:rPr>
          <w:rFonts w:asciiTheme="majorHAnsi" w:hAnsiTheme="majorHAnsi" w:cs="Times New Roman"/>
          <w:sz w:val="24"/>
          <w:szCs w:val="24"/>
          <w:lang w:val="es-ES"/>
        </w:rPr>
      </w:pPr>
      <w:r w:rsidRPr="00204EA7">
        <w:rPr>
          <w:rFonts w:asciiTheme="majorHAnsi" w:hAnsiTheme="majorHAnsi" w:cs="Times New Roman"/>
          <w:sz w:val="24"/>
          <w:szCs w:val="24"/>
          <w:lang w:val="es-ES"/>
        </w:rPr>
        <w:t>Las entidades no deben requerir el uso de ningún medio de autenticación y autorización de transacciones adicional, para aquellos usuarios que elijan utilizar el certificado digital emitido por el Sistema Nacional de Certificación Digital, en las plataformas de banca en línea de la entidad.</w:t>
      </w:r>
    </w:p>
    <w:p w14:paraId="2998BAF1" w14:textId="1AE2E6F2" w:rsidR="00C149D9" w:rsidRPr="00BF7C63" w:rsidRDefault="00C149D9" w:rsidP="00350287">
      <w:pPr>
        <w:pStyle w:val="Textosinformato"/>
        <w:ind w:left="33"/>
        <w:jc w:val="both"/>
        <w:rPr>
          <w:rFonts w:asciiTheme="majorHAnsi" w:eastAsia="Arial Unicode MS" w:hAnsiTheme="majorHAnsi" w:cs="Arial Unicode MS"/>
          <w:sz w:val="24"/>
          <w:szCs w:val="24"/>
          <w:lang w:val="es-ES_tradnl"/>
        </w:rPr>
      </w:pPr>
    </w:p>
    <w:p w14:paraId="7C6A73A1" w14:textId="77777777" w:rsidR="00C149D9" w:rsidRPr="00CA72A2" w:rsidRDefault="00C149D9" w:rsidP="00350287">
      <w:pPr>
        <w:pStyle w:val="Textosinformato"/>
        <w:ind w:left="33"/>
        <w:jc w:val="both"/>
        <w:rPr>
          <w:rFonts w:asciiTheme="majorHAnsi" w:eastAsia="Arial Unicode MS" w:hAnsiTheme="majorHAnsi" w:cs="Arial Unicode MS"/>
          <w:sz w:val="24"/>
          <w:szCs w:val="24"/>
          <w:lang w:val="es-CR"/>
        </w:rPr>
      </w:pPr>
    </w:p>
    <w:p w14:paraId="3B4FFF8B" w14:textId="77777777" w:rsidR="00350287" w:rsidRPr="00CA72A2" w:rsidRDefault="00350287" w:rsidP="00350287">
      <w:pPr>
        <w:widowControl w:val="0"/>
        <w:shd w:val="clear" w:color="auto" w:fill="D9D9D9"/>
        <w:spacing w:line="240" w:lineRule="auto"/>
        <w:ind w:left="33"/>
        <w:rPr>
          <w:rFonts w:asciiTheme="majorHAnsi" w:hAnsiTheme="majorHAnsi"/>
          <w:b/>
          <w:sz w:val="24"/>
        </w:rPr>
      </w:pPr>
      <w:r w:rsidRPr="00CA72A2">
        <w:rPr>
          <w:rFonts w:asciiTheme="majorHAnsi" w:hAnsiTheme="majorHAnsi"/>
          <w:b/>
          <w:sz w:val="24"/>
        </w:rPr>
        <w:t>4.3 Emisión de comprobantes de transacciones</w:t>
      </w:r>
    </w:p>
    <w:p w14:paraId="070B57C8" w14:textId="77777777" w:rsidR="00350287" w:rsidRPr="00CA72A2" w:rsidRDefault="00350287" w:rsidP="00350287">
      <w:pPr>
        <w:autoSpaceDE w:val="0"/>
        <w:autoSpaceDN w:val="0"/>
        <w:adjustRightInd w:val="0"/>
        <w:spacing w:line="240" w:lineRule="auto"/>
        <w:ind w:left="33"/>
        <w:rPr>
          <w:rFonts w:asciiTheme="majorHAnsi" w:hAnsiTheme="majorHAnsi" w:cs="Arial"/>
          <w:sz w:val="24"/>
          <w:lang w:val="es-CR" w:eastAsia="es-CR"/>
        </w:rPr>
      </w:pPr>
    </w:p>
    <w:p w14:paraId="593356CA" w14:textId="77777777" w:rsidR="00350287" w:rsidRPr="00CA72A2" w:rsidRDefault="00350287" w:rsidP="00350287">
      <w:pPr>
        <w:autoSpaceDE w:val="0"/>
        <w:autoSpaceDN w:val="0"/>
        <w:adjustRightInd w:val="0"/>
        <w:spacing w:line="240" w:lineRule="auto"/>
        <w:ind w:left="33"/>
        <w:rPr>
          <w:rFonts w:asciiTheme="majorHAnsi" w:hAnsiTheme="majorHAnsi" w:cs="Arial"/>
          <w:sz w:val="24"/>
          <w:lang w:val="es-CR" w:eastAsia="es-CR"/>
        </w:rPr>
      </w:pPr>
      <w:r w:rsidRPr="00CA72A2">
        <w:rPr>
          <w:rFonts w:asciiTheme="majorHAnsi" w:hAnsiTheme="majorHAnsi" w:cs="Arial"/>
          <w:sz w:val="24"/>
          <w:lang w:val="es-CR" w:eastAsia="es-CR"/>
        </w:rPr>
        <w:t>La entidad supervisada debe emitir un comprobante de confirmación para cada una de las transacciones que realicen con sus clientes, ya sea por medio</w:t>
      </w:r>
      <w:r w:rsidRPr="00CA72A2">
        <w:rPr>
          <w:rFonts w:asciiTheme="majorHAnsi" w:hAnsiTheme="majorHAnsi" w:cs="Arial"/>
          <w:color w:val="FF0000"/>
          <w:sz w:val="24"/>
          <w:lang w:val="es-CR" w:eastAsia="es-CR"/>
        </w:rPr>
        <w:t xml:space="preserve"> </w:t>
      </w:r>
      <w:r w:rsidRPr="00CA72A2">
        <w:rPr>
          <w:rFonts w:asciiTheme="majorHAnsi" w:hAnsiTheme="majorHAnsi" w:cs="Arial"/>
          <w:sz w:val="24"/>
          <w:lang w:val="es-CR" w:eastAsia="es-CR"/>
        </w:rPr>
        <w:t xml:space="preserve">de su plataforma de banca en línea o por cualquier otro medio. </w:t>
      </w:r>
    </w:p>
    <w:p w14:paraId="219579FF" w14:textId="77777777" w:rsidR="00350287" w:rsidRPr="00CA72A2" w:rsidRDefault="00350287" w:rsidP="00350287">
      <w:pPr>
        <w:autoSpaceDE w:val="0"/>
        <w:autoSpaceDN w:val="0"/>
        <w:adjustRightInd w:val="0"/>
        <w:spacing w:line="240" w:lineRule="auto"/>
        <w:ind w:left="33"/>
        <w:rPr>
          <w:rFonts w:asciiTheme="majorHAnsi" w:hAnsiTheme="majorHAnsi" w:cs="Arial"/>
          <w:sz w:val="24"/>
          <w:lang w:val="es-CR" w:eastAsia="es-CR"/>
        </w:rPr>
      </w:pPr>
    </w:p>
    <w:p w14:paraId="7E75F3B7" w14:textId="77777777" w:rsidR="00350287" w:rsidRPr="00CA72A2" w:rsidRDefault="00350287" w:rsidP="00350287">
      <w:pPr>
        <w:autoSpaceDE w:val="0"/>
        <w:autoSpaceDN w:val="0"/>
        <w:adjustRightInd w:val="0"/>
        <w:spacing w:line="240" w:lineRule="auto"/>
        <w:ind w:left="33"/>
        <w:rPr>
          <w:rFonts w:asciiTheme="majorHAnsi" w:hAnsiTheme="majorHAnsi" w:cs="Arial"/>
          <w:sz w:val="24"/>
          <w:lang w:val="es-CR" w:eastAsia="es-CR"/>
        </w:rPr>
      </w:pPr>
      <w:r w:rsidRPr="00CA72A2">
        <w:rPr>
          <w:rFonts w:asciiTheme="majorHAnsi" w:hAnsiTheme="majorHAnsi" w:cs="Arial"/>
          <w:sz w:val="24"/>
          <w:lang w:val="es-CR" w:eastAsia="es-CR"/>
        </w:rPr>
        <w:t xml:space="preserve">Independientemente de cuál haya sido el mecanismo de seguridad utilizado por el cliente para autenticarse y autorizar las transacciones en el sitio web, las transacciones consideradas de riesgo, conforme los criterios definidos por la propia entidad, deben estar sujetas a un protocolo de confirmación </w:t>
      </w:r>
      <w:r w:rsidRPr="00CA72A2">
        <w:rPr>
          <w:rFonts w:asciiTheme="majorHAnsi" w:hAnsiTheme="majorHAnsi" w:cs="Arial"/>
          <w:sz w:val="24"/>
          <w:lang w:val="es-CR" w:eastAsia="es-CR"/>
        </w:rPr>
        <w:lastRenderedPageBreak/>
        <w:t xml:space="preserve">que haga uso del certificado de Persona Jurídica (Sello Electrónico) </w:t>
      </w:r>
      <w:r w:rsidRPr="00CA72A2">
        <w:rPr>
          <w:rFonts w:asciiTheme="majorHAnsi" w:eastAsia="Arial Unicode MS" w:hAnsiTheme="majorHAnsi" w:cs="Arial Unicode MS"/>
          <w:sz w:val="24"/>
        </w:rPr>
        <w:t>emitido a través de la infraestructura del Sistema Nacional de Certificación Digital</w:t>
      </w:r>
      <w:r w:rsidRPr="00CA72A2">
        <w:rPr>
          <w:rFonts w:asciiTheme="majorHAnsi" w:hAnsiTheme="majorHAnsi" w:cs="Arial"/>
          <w:sz w:val="24"/>
          <w:lang w:val="es-CR" w:eastAsia="es-CR"/>
        </w:rPr>
        <w:t>.</w:t>
      </w:r>
    </w:p>
    <w:p w14:paraId="0E13A9A5" w14:textId="77777777" w:rsidR="00350287" w:rsidRPr="00CA72A2" w:rsidRDefault="00350287" w:rsidP="00350287">
      <w:pPr>
        <w:autoSpaceDE w:val="0"/>
        <w:autoSpaceDN w:val="0"/>
        <w:adjustRightInd w:val="0"/>
        <w:spacing w:line="240" w:lineRule="auto"/>
        <w:ind w:left="33"/>
        <w:rPr>
          <w:rFonts w:asciiTheme="majorHAnsi" w:hAnsiTheme="majorHAnsi" w:cs="Arial"/>
          <w:sz w:val="24"/>
          <w:lang w:val="es-CR" w:eastAsia="es-CR"/>
        </w:rPr>
      </w:pPr>
    </w:p>
    <w:p w14:paraId="235FE3A7" w14:textId="77777777" w:rsidR="00350287" w:rsidRPr="00CA72A2" w:rsidRDefault="00350287" w:rsidP="00350287">
      <w:pPr>
        <w:autoSpaceDE w:val="0"/>
        <w:autoSpaceDN w:val="0"/>
        <w:adjustRightInd w:val="0"/>
        <w:spacing w:line="240" w:lineRule="auto"/>
        <w:ind w:left="33"/>
        <w:rPr>
          <w:rFonts w:asciiTheme="majorHAnsi" w:hAnsiTheme="majorHAnsi" w:cs="Arial"/>
          <w:sz w:val="24"/>
          <w:lang w:val="es-CR" w:eastAsia="es-CR"/>
        </w:rPr>
      </w:pPr>
      <w:r w:rsidRPr="00CA72A2">
        <w:rPr>
          <w:rFonts w:asciiTheme="majorHAnsi" w:hAnsiTheme="majorHAnsi" w:cs="Arial"/>
          <w:sz w:val="24"/>
          <w:lang w:val="es-CR" w:eastAsia="es-CR"/>
        </w:rPr>
        <w:t xml:space="preserve">En la medida de lo posible, se debe procurar que la transacción autorizada por el cliente y el respectivo comprobante de confirmación (que la entidad debe emitirle a su cliente) sea un solo archivo, no obstante, en caso de que éstos sean archivos separados, los mismos deben estar asociados lógicamente de modo que se pueda establecer la relación directa entre ambos. </w:t>
      </w:r>
    </w:p>
    <w:p w14:paraId="0281E4BE" w14:textId="77777777" w:rsidR="00350287" w:rsidRPr="00CA72A2" w:rsidRDefault="00350287" w:rsidP="00350287">
      <w:pPr>
        <w:autoSpaceDE w:val="0"/>
        <w:autoSpaceDN w:val="0"/>
        <w:adjustRightInd w:val="0"/>
        <w:spacing w:line="240" w:lineRule="auto"/>
        <w:ind w:left="33"/>
        <w:rPr>
          <w:rFonts w:asciiTheme="majorHAnsi" w:hAnsiTheme="majorHAnsi" w:cs="Arial"/>
          <w:sz w:val="24"/>
          <w:lang w:val="es-CR" w:eastAsia="es-CR"/>
        </w:rPr>
      </w:pPr>
    </w:p>
    <w:p w14:paraId="4C30FE53" w14:textId="77777777" w:rsidR="00350287" w:rsidRPr="00CA72A2" w:rsidRDefault="00350287" w:rsidP="00350287">
      <w:pPr>
        <w:widowControl w:val="0"/>
        <w:shd w:val="clear" w:color="auto" w:fill="D9D9D9"/>
        <w:spacing w:line="240" w:lineRule="auto"/>
        <w:ind w:left="33"/>
        <w:rPr>
          <w:rFonts w:asciiTheme="majorHAnsi" w:hAnsiTheme="majorHAnsi"/>
          <w:b/>
          <w:sz w:val="24"/>
        </w:rPr>
      </w:pPr>
      <w:r w:rsidRPr="00CA72A2">
        <w:rPr>
          <w:rFonts w:asciiTheme="majorHAnsi" w:hAnsiTheme="majorHAnsi"/>
          <w:b/>
          <w:sz w:val="24"/>
        </w:rPr>
        <w:t>4.4 Conservación de los comprobantes de las transacciones</w:t>
      </w:r>
    </w:p>
    <w:p w14:paraId="0E99A3EE" w14:textId="77777777" w:rsidR="00350287" w:rsidRPr="00CA72A2" w:rsidRDefault="00350287" w:rsidP="00350287">
      <w:pPr>
        <w:autoSpaceDE w:val="0"/>
        <w:autoSpaceDN w:val="0"/>
        <w:adjustRightInd w:val="0"/>
        <w:spacing w:line="240" w:lineRule="auto"/>
        <w:ind w:left="33"/>
        <w:rPr>
          <w:rFonts w:asciiTheme="majorHAnsi" w:eastAsia="Arial Unicode MS" w:hAnsiTheme="majorHAnsi" w:cs="Arial Unicode MS"/>
          <w:sz w:val="24"/>
        </w:rPr>
      </w:pPr>
    </w:p>
    <w:p w14:paraId="3732898C" w14:textId="77777777" w:rsidR="00350287" w:rsidRPr="00CA72A2" w:rsidRDefault="00350287" w:rsidP="00350287">
      <w:pPr>
        <w:autoSpaceDE w:val="0"/>
        <w:autoSpaceDN w:val="0"/>
        <w:adjustRightInd w:val="0"/>
        <w:spacing w:line="240" w:lineRule="auto"/>
        <w:ind w:left="33"/>
        <w:rPr>
          <w:rFonts w:asciiTheme="majorHAnsi" w:eastAsia="Arial Unicode MS" w:hAnsiTheme="majorHAnsi" w:cs="Arial Unicode MS"/>
          <w:strike/>
          <w:sz w:val="24"/>
        </w:rPr>
      </w:pPr>
      <w:r w:rsidRPr="00CA72A2">
        <w:rPr>
          <w:rFonts w:asciiTheme="majorHAnsi" w:eastAsia="Arial Unicode MS" w:hAnsiTheme="majorHAnsi" w:cs="Arial Unicode MS"/>
          <w:sz w:val="24"/>
        </w:rPr>
        <w:t xml:space="preserve">Sin detrimento de cualquier otra disposición legal aplicable, para todas las transacciones autorizadas por los clientes por medio del servicio de banca en línea, las entidades supervisadas deben mantener, como mínimo, durante 48 meses, el registro histórico de esas transacciones, así como el registro de los respectivos comprobantes de confirmación.  </w:t>
      </w:r>
    </w:p>
    <w:p w14:paraId="28D3A085" w14:textId="77777777" w:rsidR="00350287" w:rsidRPr="00CA72A2" w:rsidRDefault="00350287" w:rsidP="00350287">
      <w:pPr>
        <w:autoSpaceDE w:val="0"/>
        <w:autoSpaceDN w:val="0"/>
        <w:adjustRightInd w:val="0"/>
        <w:spacing w:line="240" w:lineRule="auto"/>
        <w:ind w:left="33"/>
        <w:rPr>
          <w:rFonts w:asciiTheme="majorHAnsi" w:eastAsia="Arial Unicode MS" w:hAnsiTheme="majorHAnsi" w:cs="Arial Unicode MS"/>
          <w:sz w:val="24"/>
        </w:rPr>
      </w:pPr>
    </w:p>
    <w:p w14:paraId="59C1CDEE" w14:textId="77777777" w:rsidR="00350287" w:rsidRPr="00CA72A2" w:rsidRDefault="00350287" w:rsidP="00350287">
      <w:pPr>
        <w:autoSpaceDE w:val="0"/>
        <w:autoSpaceDN w:val="0"/>
        <w:adjustRightInd w:val="0"/>
        <w:spacing w:line="240" w:lineRule="auto"/>
        <w:ind w:left="33"/>
        <w:rPr>
          <w:rFonts w:asciiTheme="majorHAnsi" w:hAnsiTheme="majorHAnsi" w:cs="Arial"/>
          <w:sz w:val="24"/>
          <w:lang w:val="es-CR" w:eastAsia="es-CR"/>
        </w:rPr>
      </w:pPr>
      <w:r w:rsidRPr="00CA72A2">
        <w:rPr>
          <w:rFonts w:asciiTheme="majorHAnsi" w:hAnsiTheme="majorHAnsi" w:cs="Arial"/>
          <w:sz w:val="24"/>
          <w:lang w:val="es-CR" w:eastAsia="es-CR"/>
        </w:rPr>
        <w:t xml:space="preserve">Las entidades supervisadas deben tener a disposición de sus clientes los comprobantes de las transacciones de modo que éstos puedan obtenerlos al momento de concluir la operación y en cualquier momento posterior, dentro de los 48 meses a su realización. Para los efectos, la entidad debe definir el lapso en que podrán ser consultados directamente en la plataforma de banca en línea, superado dicho plazo, debe dar a conocer el trámite que el cliente debe realizar para obtener la respectiva información. </w:t>
      </w:r>
    </w:p>
    <w:p w14:paraId="7B060577" w14:textId="77777777" w:rsidR="00350287" w:rsidRPr="00CA72A2" w:rsidRDefault="00350287" w:rsidP="00350287">
      <w:pPr>
        <w:autoSpaceDE w:val="0"/>
        <w:autoSpaceDN w:val="0"/>
        <w:adjustRightInd w:val="0"/>
        <w:spacing w:line="240" w:lineRule="auto"/>
        <w:ind w:left="33"/>
        <w:rPr>
          <w:rFonts w:asciiTheme="majorHAnsi" w:hAnsiTheme="majorHAnsi" w:cs="Arial"/>
          <w:sz w:val="24"/>
          <w:lang w:val="es-CR" w:eastAsia="es-CR"/>
        </w:rPr>
      </w:pPr>
    </w:p>
    <w:p w14:paraId="310C968D" w14:textId="77777777" w:rsidR="00350287" w:rsidRPr="00CA72A2" w:rsidRDefault="00350287" w:rsidP="00350287">
      <w:pPr>
        <w:autoSpaceDE w:val="0"/>
        <w:autoSpaceDN w:val="0"/>
        <w:adjustRightInd w:val="0"/>
        <w:spacing w:line="240" w:lineRule="auto"/>
        <w:ind w:left="33"/>
        <w:rPr>
          <w:rFonts w:asciiTheme="majorHAnsi" w:hAnsiTheme="majorHAnsi" w:cs="Arial"/>
          <w:sz w:val="24"/>
          <w:lang w:val="es-CR" w:eastAsia="es-CR"/>
        </w:rPr>
      </w:pPr>
    </w:p>
    <w:p w14:paraId="4AF85D7D" w14:textId="77777777" w:rsidR="00350287" w:rsidRPr="00CA72A2" w:rsidRDefault="00350287" w:rsidP="00350287">
      <w:pPr>
        <w:widowControl w:val="0"/>
        <w:shd w:val="clear" w:color="auto" w:fill="D9D9D9"/>
        <w:spacing w:line="240" w:lineRule="auto"/>
        <w:ind w:left="33"/>
        <w:rPr>
          <w:rFonts w:asciiTheme="majorHAnsi" w:hAnsiTheme="majorHAnsi"/>
          <w:b/>
          <w:sz w:val="24"/>
        </w:rPr>
      </w:pPr>
      <w:r w:rsidRPr="00CA72A2">
        <w:rPr>
          <w:rFonts w:asciiTheme="majorHAnsi" w:hAnsiTheme="majorHAnsi"/>
          <w:b/>
          <w:sz w:val="24"/>
        </w:rPr>
        <w:lastRenderedPageBreak/>
        <w:t>4.5 Formato de los archivos de los comprobantes firmados digitalmente</w:t>
      </w:r>
    </w:p>
    <w:p w14:paraId="35275C14" w14:textId="77777777" w:rsidR="00350287" w:rsidRPr="00CA72A2" w:rsidRDefault="00350287" w:rsidP="00350287">
      <w:pPr>
        <w:spacing w:line="240" w:lineRule="auto"/>
        <w:ind w:left="33"/>
        <w:rPr>
          <w:rFonts w:asciiTheme="majorHAnsi" w:eastAsia="Arial Unicode MS" w:hAnsiTheme="majorHAnsi" w:cs="Arial Unicode MS"/>
          <w:sz w:val="24"/>
        </w:rPr>
      </w:pPr>
    </w:p>
    <w:p w14:paraId="420432AC" w14:textId="77777777" w:rsidR="00350287" w:rsidRPr="00CA72A2" w:rsidRDefault="00350287" w:rsidP="00350287">
      <w:pPr>
        <w:spacing w:line="240" w:lineRule="auto"/>
        <w:ind w:left="33"/>
        <w:rPr>
          <w:rFonts w:asciiTheme="majorHAnsi" w:hAnsiTheme="majorHAnsi"/>
          <w:sz w:val="24"/>
        </w:rPr>
      </w:pPr>
      <w:r w:rsidRPr="00CA72A2">
        <w:rPr>
          <w:rFonts w:asciiTheme="majorHAnsi" w:eastAsia="Arial Unicode MS" w:hAnsiTheme="majorHAnsi" w:cs="Arial Unicode MS"/>
          <w:sz w:val="24"/>
        </w:rPr>
        <w:t xml:space="preserve">Todos los archivos electrónicos firmados digitalmente por la entidad supervisada o por sus clientes deben </w:t>
      </w:r>
      <w:r w:rsidRPr="00CA72A2">
        <w:rPr>
          <w:rFonts w:asciiTheme="majorHAnsi" w:hAnsiTheme="majorHAnsi"/>
          <w:sz w:val="24"/>
        </w:rPr>
        <w:t>cumplir con los requisitos estipulados en la “Política de formatos oficiales de los documentos electrónicos firmados digitalmente”, emitida por la Dirección de Certificadores de Firma Digital del Ministerio de Ciencia, Tecnología y Telecomunicaciones (MICITT). Adicionalmente, las entidades supervisadas deben ofrecer a sus clientes las herramientas necesarias para que puedan visualizar la información contenida en estos archivos, así como para que puedan verificar la validez de las firmas digitales consignadas en estos.</w:t>
      </w:r>
    </w:p>
    <w:p w14:paraId="3618CE4C" w14:textId="77777777" w:rsidR="00350287" w:rsidRPr="00CA72A2" w:rsidRDefault="00350287" w:rsidP="00350287">
      <w:pPr>
        <w:spacing w:line="240" w:lineRule="auto"/>
        <w:ind w:left="33"/>
        <w:rPr>
          <w:rFonts w:asciiTheme="majorHAnsi" w:hAnsiTheme="majorHAnsi"/>
          <w:sz w:val="24"/>
        </w:rPr>
      </w:pPr>
    </w:p>
    <w:p w14:paraId="70AEFCF8" w14:textId="77777777" w:rsidR="00350287" w:rsidRPr="00CA72A2" w:rsidRDefault="00350287" w:rsidP="00350287">
      <w:pPr>
        <w:spacing w:line="240" w:lineRule="auto"/>
        <w:ind w:left="33"/>
        <w:rPr>
          <w:rFonts w:asciiTheme="majorHAnsi" w:eastAsia="Arial Unicode MS" w:hAnsiTheme="majorHAnsi" w:cs="Arial Unicode MS"/>
          <w:sz w:val="24"/>
        </w:rPr>
      </w:pPr>
    </w:p>
    <w:p w14:paraId="042B9B40" w14:textId="77777777" w:rsidR="00350287" w:rsidRPr="00CA72A2" w:rsidRDefault="00350287" w:rsidP="00350287">
      <w:pPr>
        <w:widowControl w:val="0"/>
        <w:shd w:val="clear" w:color="auto" w:fill="D9D9D9"/>
        <w:spacing w:line="240" w:lineRule="auto"/>
        <w:ind w:left="33"/>
        <w:rPr>
          <w:rFonts w:asciiTheme="majorHAnsi" w:hAnsiTheme="majorHAnsi"/>
          <w:b/>
          <w:sz w:val="24"/>
        </w:rPr>
      </w:pPr>
      <w:r w:rsidRPr="00CA72A2">
        <w:rPr>
          <w:rFonts w:asciiTheme="majorHAnsi" w:hAnsiTheme="majorHAnsi"/>
          <w:b/>
          <w:sz w:val="24"/>
        </w:rPr>
        <w:t>4.6 Desarrollo de nuevos trámites firmados digitalmente</w:t>
      </w:r>
    </w:p>
    <w:p w14:paraId="17EFA21F" w14:textId="77777777" w:rsidR="00350287" w:rsidRPr="00CA72A2" w:rsidRDefault="00350287" w:rsidP="00350287">
      <w:pPr>
        <w:pStyle w:val="Textosinformato"/>
        <w:ind w:left="33"/>
        <w:jc w:val="both"/>
        <w:rPr>
          <w:rFonts w:asciiTheme="majorHAnsi" w:eastAsia="Arial Unicode MS" w:hAnsiTheme="majorHAnsi" w:cs="Arial Unicode MS"/>
          <w:sz w:val="24"/>
          <w:szCs w:val="24"/>
          <w:lang w:val="es-ES" w:eastAsia="es-ES"/>
        </w:rPr>
      </w:pPr>
    </w:p>
    <w:p w14:paraId="5F2B37C2" w14:textId="77777777" w:rsidR="00350287" w:rsidRPr="00CA72A2" w:rsidRDefault="00350287" w:rsidP="00350287">
      <w:pPr>
        <w:pStyle w:val="Textosinformato"/>
        <w:ind w:left="33"/>
        <w:jc w:val="both"/>
        <w:rPr>
          <w:rFonts w:asciiTheme="majorHAnsi" w:eastAsia="Arial Unicode MS" w:hAnsiTheme="majorHAnsi" w:cs="Arial Unicode MS"/>
          <w:sz w:val="24"/>
          <w:szCs w:val="24"/>
          <w:lang w:val="es-ES" w:eastAsia="es-ES"/>
        </w:rPr>
      </w:pPr>
      <w:r w:rsidRPr="00CA72A2">
        <w:rPr>
          <w:rFonts w:asciiTheme="majorHAnsi" w:eastAsia="Arial Unicode MS" w:hAnsiTheme="majorHAnsi" w:cs="Arial Unicode MS"/>
          <w:sz w:val="24"/>
          <w:szCs w:val="24"/>
          <w:lang w:val="es-ES" w:eastAsia="es-ES"/>
        </w:rPr>
        <w:t>Las entidades supervisadas deben incentivar el desarrollo de nuevos servicios que posibiliten que todo trámite o gestión que requiera ser firmado por sus clientes, esté disponible en su plataforma de banca en línea y pueda ser firmado digitalmente por éstos, evitando así, que tengan que trasladarse físicamente a la entidad con este propósito.</w:t>
      </w:r>
    </w:p>
    <w:p w14:paraId="5BA5A2F1" w14:textId="77777777" w:rsidR="00350287" w:rsidRPr="00CA72A2" w:rsidRDefault="00350287" w:rsidP="00350287">
      <w:pPr>
        <w:widowControl w:val="0"/>
        <w:spacing w:line="240" w:lineRule="auto"/>
        <w:ind w:left="33"/>
        <w:rPr>
          <w:rFonts w:asciiTheme="majorHAnsi" w:hAnsiTheme="majorHAnsi"/>
          <w:b/>
          <w:sz w:val="24"/>
        </w:rPr>
      </w:pPr>
    </w:p>
    <w:p w14:paraId="7C68DEE0" w14:textId="77777777" w:rsidR="00350287" w:rsidRPr="00CA72A2" w:rsidRDefault="00350287" w:rsidP="00350287">
      <w:pPr>
        <w:widowControl w:val="0"/>
        <w:spacing w:line="240" w:lineRule="auto"/>
        <w:ind w:left="33"/>
        <w:rPr>
          <w:rFonts w:asciiTheme="majorHAnsi" w:hAnsiTheme="majorHAnsi"/>
          <w:b/>
          <w:sz w:val="24"/>
        </w:rPr>
      </w:pPr>
      <w:r w:rsidRPr="00CA72A2">
        <w:rPr>
          <w:rFonts w:asciiTheme="majorHAnsi" w:hAnsiTheme="majorHAnsi"/>
          <w:b/>
          <w:sz w:val="24"/>
        </w:rPr>
        <w:t xml:space="preserve">Transitorio </w:t>
      </w:r>
      <w:r w:rsidRPr="00C149D9">
        <w:rPr>
          <w:rFonts w:asciiTheme="majorHAnsi" w:hAnsiTheme="majorHAnsi"/>
          <w:b/>
          <w:color w:val="000000" w:themeColor="text2" w:themeShade="BF"/>
          <w:sz w:val="24"/>
        </w:rPr>
        <w:t>I</w:t>
      </w:r>
    </w:p>
    <w:p w14:paraId="5E3B23B8" w14:textId="77777777" w:rsidR="00350287" w:rsidRPr="00CA72A2" w:rsidRDefault="00350287" w:rsidP="00350287">
      <w:pPr>
        <w:widowControl w:val="0"/>
        <w:spacing w:line="240" w:lineRule="auto"/>
        <w:ind w:left="33"/>
        <w:rPr>
          <w:rFonts w:asciiTheme="majorHAnsi" w:eastAsia="Arial Unicode MS" w:hAnsiTheme="majorHAnsi" w:cs="Arial Unicode MS"/>
          <w:sz w:val="24"/>
        </w:rPr>
      </w:pPr>
    </w:p>
    <w:p w14:paraId="1DD63CDC" w14:textId="77777777" w:rsidR="00350287" w:rsidRPr="00CA72A2" w:rsidRDefault="00350287" w:rsidP="00350287">
      <w:pPr>
        <w:widowControl w:val="0"/>
        <w:spacing w:line="240" w:lineRule="auto"/>
        <w:ind w:left="33"/>
        <w:rPr>
          <w:rFonts w:asciiTheme="majorHAnsi" w:eastAsia="Arial Unicode MS" w:hAnsiTheme="majorHAnsi" w:cs="Arial Unicode MS"/>
          <w:sz w:val="24"/>
        </w:rPr>
      </w:pPr>
      <w:r w:rsidRPr="00CA72A2">
        <w:rPr>
          <w:rFonts w:asciiTheme="majorHAnsi" w:eastAsia="Arial Unicode MS" w:hAnsiTheme="majorHAnsi" w:cs="Arial Unicode MS"/>
          <w:sz w:val="24"/>
        </w:rPr>
        <w:t>La entidad cuenta con 24 meses a partir de la entrada en vigencia del Acuerdo SUGEF 18-16, para implementar todas las funcionalidades necesa</w:t>
      </w:r>
      <w:r w:rsidRPr="00CA72A2">
        <w:rPr>
          <w:rFonts w:asciiTheme="majorHAnsi" w:eastAsia="Arial Unicode MS" w:hAnsiTheme="majorHAnsi" w:cs="Arial Unicode MS"/>
          <w:sz w:val="24"/>
        </w:rPr>
        <w:lastRenderedPageBreak/>
        <w:t xml:space="preserve">rias que le permitan atender los requerimientos relacionados con el apartado IV de estos lineamientos. </w:t>
      </w:r>
    </w:p>
    <w:p w14:paraId="224ABF8B" w14:textId="77777777" w:rsidR="00350287" w:rsidRPr="00CA72A2" w:rsidRDefault="00350287" w:rsidP="00350287">
      <w:pPr>
        <w:widowControl w:val="0"/>
        <w:spacing w:line="240" w:lineRule="auto"/>
        <w:ind w:left="33"/>
        <w:rPr>
          <w:rFonts w:asciiTheme="majorHAnsi" w:eastAsia="Arial Unicode MS" w:hAnsiTheme="majorHAnsi" w:cs="Arial Unicode MS"/>
          <w:b/>
          <w:sz w:val="24"/>
        </w:rPr>
      </w:pPr>
      <w:r w:rsidRPr="00CA72A2">
        <w:rPr>
          <w:rFonts w:asciiTheme="majorHAnsi" w:eastAsia="Arial Unicode MS" w:hAnsiTheme="majorHAnsi" w:cs="Arial Unicode MS"/>
          <w:b/>
          <w:sz w:val="24"/>
        </w:rPr>
        <w:t>Transitorio II</w:t>
      </w:r>
    </w:p>
    <w:p w14:paraId="28A2EA26" w14:textId="77777777" w:rsidR="00350287" w:rsidRPr="00CA72A2" w:rsidRDefault="00350287" w:rsidP="00350287">
      <w:pPr>
        <w:widowControl w:val="0"/>
        <w:spacing w:line="240" w:lineRule="auto"/>
        <w:ind w:left="33"/>
        <w:rPr>
          <w:rFonts w:asciiTheme="majorHAnsi" w:eastAsia="Arial Unicode MS" w:hAnsiTheme="majorHAnsi" w:cs="Arial Unicode MS"/>
          <w:sz w:val="24"/>
        </w:rPr>
      </w:pPr>
    </w:p>
    <w:p w14:paraId="0CFD858E" w14:textId="77777777" w:rsidR="00350287" w:rsidRPr="00CA72A2" w:rsidRDefault="00350287" w:rsidP="00350287">
      <w:pPr>
        <w:widowControl w:val="0"/>
        <w:spacing w:line="240" w:lineRule="auto"/>
        <w:ind w:left="33"/>
        <w:rPr>
          <w:rFonts w:asciiTheme="majorHAnsi" w:eastAsia="Arial Unicode MS" w:hAnsiTheme="majorHAnsi" w:cs="Arial Unicode MS"/>
          <w:sz w:val="24"/>
          <w:u w:val="single"/>
        </w:rPr>
      </w:pPr>
      <w:r w:rsidRPr="00CA72A2">
        <w:rPr>
          <w:rFonts w:asciiTheme="majorHAnsi" w:eastAsia="Arial Unicode MS" w:hAnsiTheme="majorHAnsi" w:cs="Arial Unicode MS"/>
          <w:sz w:val="24"/>
          <w:u w:val="single"/>
        </w:rPr>
        <w:t>Firma digital para personas jurídicas:</w:t>
      </w:r>
    </w:p>
    <w:p w14:paraId="74F95294" w14:textId="77777777" w:rsidR="00350287" w:rsidRPr="00CA72A2" w:rsidRDefault="00350287" w:rsidP="00350287">
      <w:pPr>
        <w:widowControl w:val="0"/>
        <w:spacing w:line="240" w:lineRule="auto"/>
        <w:ind w:left="33"/>
        <w:rPr>
          <w:rFonts w:asciiTheme="majorHAnsi" w:eastAsia="Arial Unicode MS" w:hAnsiTheme="majorHAnsi" w:cs="Arial Unicode MS"/>
          <w:sz w:val="24"/>
        </w:rPr>
      </w:pPr>
    </w:p>
    <w:p w14:paraId="1BE1E83C" w14:textId="77777777" w:rsidR="00350287" w:rsidRPr="00CA72A2" w:rsidRDefault="00350287" w:rsidP="00350287">
      <w:pPr>
        <w:widowControl w:val="0"/>
        <w:spacing w:line="240" w:lineRule="auto"/>
        <w:ind w:left="33"/>
        <w:rPr>
          <w:rFonts w:asciiTheme="majorHAnsi" w:eastAsia="Arial Unicode MS" w:hAnsiTheme="majorHAnsi" w:cs="Arial Unicode MS"/>
          <w:sz w:val="24"/>
        </w:rPr>
      </w:pPr>
      <w:r w:rsidRPr="00CA72A2">
        <w:rPr>
          <w:rFonts w:asciiTheme="majorHAnsi" w:eastAsia="Arial Unicode MS" w:hAnsiTheme="majorHAnsi" w:cs="Arial Unicode MS"/>
          <w:sz w:val="24"/>
        </w:rPr>
        <w:t>De acuerdo con lo establecido en el punto “4.3 Emisión de comprobantes de transacciones” de la Sección “IV. REQUERIMIENTOS MÍNIMOS RESPECTO A LA AUTENTICACIÓN DE CLIENTES Y AUTORIZACIÓN DE TRANSACCIONES EN LOS MEDIOS Y DISPOSITIVOS DE LOS CANALES ELECTRÓNICOS UTILIZADOS EN LA PRESTACIÓN DE SERVICIOS FINANCIEROS DE BANCA EN LINEA.”, se requiere que todas las personas jurídicas efectúen sus trámites utilizando el certificado de Persona Jurídica (Sello Electrónico) emitido a través de la infraestructura del Sistema Nacional de Certificación Digital. Sin embargo, a la fecha de emisión de esta norma, el uso de este dispositivo está limitado a personas jurídicas del sector público. Por tanto, el uso del dispositivo será obligatorio a partir de los doce meses siguientes a la implementación del mismo por parte del Sistema Nacional de Certificación Digital.</w:t>
      </w:r>
    </w:p>
    <w:p w14:paraId="44971200" w14:textId="77777777" w:rsidR="00350287" w:rsidRPr="00CA72A2" w:rsidRDefault="00350287" w:rsidP="00350287">
      <w:pPr>
        <w:widowControl w:val="0"/>
        <w:spacing w:line="240" w:lineRule="auto"/>
        <w:ind w:left="33"/>
        <w:rPr>
          <w:rFonts w:asciiTheme="majorHAnsi" w:eastAsia="Arial Unicode MS" w:hAnsiTheme="majorHAnsi" w:cs="Arial Unicode MS"/>
          <w:sz w:val="24"/>
        </w:rPr>
      </w:pPr>
    </w:p>
    <w:p w14:paraId="729A596C" w14:textId="77777777" w:rsidR="00350287" w:rsidRPr="00CA72A2" w:rsidRDefault="00350287" w:rsidP="00350287">
      <w:pPr>
        <w:widowControl w:val="0"/>
        <w:spacing w:line="240" w:lineRule="auto"/>
        <w:ind w:left="33"/>
        <w:rPr>
          <w:rFonts w:asciiTheme="majorHAnsi" w:eastAsia="Arial Unicode MS" w:hAnsiTheme="majorHAnsi" w:cs="Arial Unicode MS"/>
          <w:sz w:val="24"/>
        </w:rPr>
      </w:pPr>
    </w:p>
    <w:p w14:paraId="266572C1" w14:textId="77777777" w:rsidR="00350287" w:rsidRPr="00CA72A2" w:rsidRDefault="00350287" w:rsidP="00350287">
      <w:pPr>
        <w:widowControl w:val="0"/>
        <w:spacing w:line="240" w:lineRule="auto"/>
        <w:ind w:left="33"/>
        <w:rPr>
          <w:rFonts w:asciiTheme="majorHAnsi" w:eastAsia="Arial Unicode MS" w:hAnsiTheme="majorHAnsi" w:cs="Arial Unicode MS"/>
          <w:b/>
          <w:sz w:val="24"/>
        </w:rPr>
      </w:pPr>
      <w:r w:rsidRPr="00CA72A2">
        <w:rPr>
          <w:rFonts w:asciiTheme="majorHAnsi" w:eastAsia="Arial Unicode MS" w:hAnsiTheme="majorHAnsi" w:cs="Arial Unicode MS"/>
          <w:b/>
          <w:sz w:val="24"/>
        </w:rPr>
        <w:t>Transitorio III</w:t>
      </w:r>
    </w:p>
    <w:p w14:paraId="1CF02CF5" w14:textId="77777777" w:rsidR="00350287" w:rsidRPr="00CA72A2" w:rsidRDefault="00350287" w:rsidP="00350287">
      <w:pPr>
        <w:widowControl w:val="0"/>
        <w:spacing w:line="240" w:lineRule="auto"/>
        <w:ind w:left="33"/>
        <w:rPr>
          <w:rFonts w:asciiTheme="majorHAnsi" w:eastAsia="Arial Unicode MS" w:hAnsiTheme="majorHAnsi" w:cs="Arial Unicode MS"/>
          <w:sz w:val="24"/>
        </w:rPr>
      </w:pPr>
    </w:p>
    <w:p w14:paraId="44F97A7C" w14:textId="77777777" w:rsidR="00350287" w:rsidRPr="00CA72A2" w:rsidRDefault="00350287" w:rsidP="00350287">
      <w:pPr>
        <w:widowControl w:val="0"/>
        <w:spacing w:line="240" w:lineRule="auto"/>
        <w:ind w:left="33"/>
        <w:rPr>
          <w:rFonts w:asciiTheme="majorHAnsi" w:eastAsia="Arial Unicode MS" w:hAnsiTheme="majorHAnsi" w:cs="Arial Unicode MS"/>
          <w:sz w:val="24"/>
        </w:rPr>
      </w:pPr>
      <w:r w:rsidRPr="00CA72A2">
        <w:rPr>
          <w:rFonts w:asciiTheme="majorHAnsi" w:eastAsia="Arial Unicode MS" w:hAnsiTheme="majorHAnsi" w:cs="Arial Unicode MS"/>
          <w:sz w:val="24"/>
        </w:rPr>
        <w:t xml:space="preserve">En los puntos “4.2 Autenticación y Autorización de Transacciones” y “4.3 Emisión de comprobantes de transacciones” de la Sección “IV. REQUERIMIENTOS MÍNIMOS RESPECTO A LA AUTENTICACIÓN DE CLIENTES Y AUTORIZACIÓN DE TRANSACCIONES EN LOS MEDIOS Y DISPOSITIVOS DE LOS CANALES </w:t>
      </w:r>
      <w:r w:rsidRPr="00CA72A2">
        <w:rPr>
          <w:rFonts w:asciiTheme="majorHAnsi" w:eastAsia="Arial Unicode MS" w:hAnsiTheme="majorHAnsi" w:cs="Arial Unicode MS"/>
          <w:sz w:val="24"/>
        </w:rPr>
        <w:lastRenderedPageBreak/>
        <w:t>ELECTRÓNICOS UTILIZADOS EN LA PRESTACIÓN DE SERVICIOS FINANCIEROS DE BANCA EN LINEA.”, se hace referencia al sitio web. Sin embargo, en el momento a partir del cual la entidad utilice una plataforma alternativa, ésta deberá informarlo a la SUGEF, aplicándole los mismos requerimientos estipulados en los puntos mencionados.</w:t>
      </w:r>
    </w:p>
    <w:p w14:paraId="31DCCBD4" w14:textId="77777777" w:rsidR="00350287" w:rsidRPr="00CA72A2" w:rsidRDefault="00350287" w:rsidP="00350287">
      <w:pPr>
        <w:spacing w:line="240" w:lineRule="auto"/>
        <w:ind w:left="33"/>
        <w:rPr>
          <w:rFonts w:asciiTheme="majorHAnsi" w:hAnsiTheme="majorHAnsi"/>
          <w:sz w:val="24"/>
        </w:rPr>
      </w:pPr>
    </w:p>
    <w:p w14:paraId="7E844340" w14:textId="77777777" w:rsidR="00350287" w:rsidRDefault="00350287" w:rsidP="00350287">
      <w:pPr>
        <w:spacing w:line="240" w:lineRule="auto"/>
        <w:ind w:left="33"/>
        <w:rPr>
          <w:rFonts w:asciiTheme="majorHAnsi" w:hAnsiTheme="majorHAnsi"/>
          <w:sz w:val="24"/>
        </w:rPr>
      </w:pPr>
      <w:r w:rsidRPr="00CA72A2">
        <w:rPr>
          <w:rFonts w:asciiTheme="majorHAnsi" w:hAnsiTheme="majorHAnsi"/>
          <w:sz w:val="24"/>
        </w:rPr>
        <w:t>Rige a partir de su publicación en el Diario Oficial La Gaceta.</w:t>
      </w:r>
    </w:p>
    <w:p w14:paraId="5D35B1D4" w14:textId="537A16E7" w:rsidR="00CA2739" w:rsidRPr="00CA72A2" w:rsidRDefault="00CA2739" w:rsidP="00350287">
      <w:pPr>
        <w:spacing w:line="240" w:lineRule="auto"/>
        <w:ind w:left="33"/>
        <w:rPr>
          <w:rFonts w:asciiTheme="majorHAnsi" w:hAnsiTheme="majorHAnsi"/>
          <w:sz w:val="24"/>
        </w:rPr>
      </w:pPr>
    </w:p>
    <w:p w14:paraId="3314FA24" w14:textId="5165D475" w:rsidR="0071134B" w:rsidRPr="00CA72A2" w:rsidRDefault="0071134B" w:rsidP="00D26EDE">
      <w:pPr>
        <w:pStyle w:val="Texto0"/>
        <w:spacing w:before="0" w:after="0" w:line="240" w:lineRule="auto"/>
        <w:rPr>
          <w:sz w:val="24"/>
        </w:rPr>
      </w:pPr>
      <w:r w:rsidRPr="00CA72A2">
        <w:rPr>
          <w:sz w:val="24"/>
        </w:rPr>
        <w:t>Atentamente,</w:t>
      </w:r>
    </w:p>
    <w:p w14:paraId="46CD15B6" w14:textId="4A9469D4" w:rsidR="000F34AE" w:rsidRPr="00CA72A2" w:rsidRDefault="00CA2739" w:rsidP="00D26EDE">
      <w:pPr>
        <w:spacing w:line="240" w:lineRule="auto"/>
        <w:rPr>
          <w:sz w:val="24"/>
        </w:rPr>
      </w:pPr>
      <w:r w:rsidRPr="00CA72A2">
        <w:rPr>
          <w:noProof/>
          <w:sz w:val="24"/>
          <w:lang w:val="es-CR" w:eastAsia="es-CR"/>
        </w:rPr>
        <w:drawing>
          <wp:anchor distT="0" distB="0" distL="114300" distR="114300" simplePos="0" relativeHeight="251658240" behindDoc="1" locked="0" layoutInCell="1" allowOverlap="1" wp14:anchorId="511D923C" wp14:editId="4A9F1B4A">
            <wp:simplePos x="0" y="0"/>
            <wp:positionH relativeFrom="column">
              <wp:posOffset>-40479</wp:posOffset>
            </wp:positionH>
            <wp:positionV relativeFrom="paragraph">
              <wp:posOffset>112612</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14:paraId="44C6D0C4" w14:textId="14131BA8" w:rsidR="00041BDD" w:rsidRDefault="00041BDD" w:rsidP="00D26EDE">
      <w:pPr>
        <w:spacing w:line="240" w:lineRule="auto"/>
        <w:rPr>
          <w:sz w:val="24"/>
        </w:rPr>
      </w:pPr>
    </w:p>
    <w:p w14:paraId="3864F4E1" w14:textId="77777777" w:rsidR="00CA2739" w:rsidRPr="00CA72A2" w:rsidRDefault="00CA2739" w:rsidP="00D26EDE">
      <w:pPr>
        <w:spacing w:line="240" w:lineRule="auto"/>
        <w:rPr>
          <w:sz w:val="24"/>
        </w:rPr>
      </w:pPr>
    </w:p>
    <w:p w14:paraId="1A43CD64" w14:textId="6412DC69" w:rsidR="0085692C" w:rsidRPr="00CA72A2" w:rsidRDefault="005B448F" w:rsidP="00D26EDE">
      <w:pPr>
        <w:pStyle w:val="Negrita"/>
        <w:spacing w:line="240" w:lineRule="auto"/>
        <w:rPr>
          <w:sz w:val="24"/>
        </w:rPr>
      </w:pPr>
      <w:r w:rsidRPr="00CA72A2">
        <w:rPr>
          <w:sz w:val="24"/>
        </w:rPr>
        <w:t>Javier Cascante Elizondo</w:t>
      </w:r>
    </w:p>
    <w:p w14:paraId="362B352B" w14:textId="2D8437FB" w:rsidR="00BA112E" w:rsidRPr="00CA72A2" w:rsidRDefault="005B448F" w:rsidP="00D26EDE">
      <w:pPr>
        <w:spacing w:line="240" w:lineRule="auto"/>
        <w:rPr>
          <w:sz w:val="24"/>
        </w:rPr>
      </w:pPr>
      <w:r w:rsidRPr="00CA72A2">
        <w:rPr>
          <w:sz w:val="24"/>
        </w:rPr>
        <w:t>Superintendente</w:t>
      </w:r>
      <w:r w:rsidR="00984A65" w:rsidRPr="00CA72A2">
        <w:rPr>
          <w:sz w:val="24"/>
        </w:rPr>
        <w:tab/>
      </w:r>
    </w:p>
    <w:p w14:paraId="32A3832C" w14:textId="324974C8" w:rsidR="00EB4E27" w:rsidRDefault="00EB4E27" w:rsidP="00EB4E27">
      <w:pPr>
        <w:rPr>
          <w:sz w:val="24"/>
        </w:rPr>
      </w:pPr>
    </w:p>
    <w:p w14:paraId="46728447" w14:textId="06A59775" w:rsidR="00CA2739" w:rsidRPr="00742CF0" w:rsidRDefault="00CA2739" w:rsidP="00EB4E27">
      <w:pPr>
        <w:rPr>
          <w:b/>
          <w:sz w:val="16"/>
          <w:szCs w:val="16"/>
          <w:lang w:val="en-US"/>
        </w:rPr>
      </w:pPr>
      <w:r w:rsidRPr="00742CF0">
        <w:rPr>
          <w:b/>
          <w:sz w:val="16"/>
          <w:szCs w:val="16"/>
          <w:lang w:val="en-US"/>
        </w:rPr>
        <w:t>GSC/GAA/GAM/XMR/gvl*</w:t>
      </w:r>
    </w:p>
    <w:sectPr w:rsidR="00CA2739" w:rsidRPr="00742CF0" w:rsidSect="005739A8">
      <w:headerReference w:type="default" r:id="rId14"/>
      <w:footerReference w:type="default" r:id="rId15"/>
      <w:headerReference w:type="first" r:id="rId16"/>
      <w:footerReference w:type="first" r:id="rId17"/>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B7C9C" w14:textId="77777777" w:rsidR="00D66AC4" w:rsidRDefault="00D66AC4" w:rsidP="00D43D57">
      <w:r>
        <w:separator/>
      </w:r>
    </w:p>
  </w:endnote>
  <w:endnote w:type="continuationSeparator" w:id="0">
    <w:p w14:paraId="02B97DE8" w14:textId="77777777" w:rsidR="00D66AC4" w:rsidRDefault="00D66AC4"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6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CellMar>
        <w:left w:w="70" w:type="dxa"/>
        <w:right w:w="70" w:type="dxa"/>
      </w:tblCellMar>
      <w:tblLook w:val="0000" w:firstRow="0" w:lastRow="0" w:firstColumn="0" w:lastColumn="0" w:noHBand="0" w:noVBand="0"/>
    </w:tblPr>
    <w:tblGrid>
      <w:gridCol w:w="3288"/>
      <w:gridCol w:w="2922"/>
      <w:gridCol w:w="2484"/>
    </w:tblGrid>
    <w:tr w:rsidR="00E25A07" w14:paraId="004988F5" w14:textId="77777777" w:rsidTr="0024063E">
      <w:trPr>
        <w:trHeight w:val="546"/>
      </w:trPr>
      <w:tc>
        <w:tcPr>
          <w:tcW w:w="3189" w:type="dxa"/>
          <w:shd w:val="clear" w:color="auto" w:fill="FFFFFF"/>
          <w:vAlign w:val="center"/>
        </w:tcPr>
        <w:p w14:paraId="28AB057E" w14:textId="77777777" w:rsidR="00E25A07" w:rsidRDefault="00E25A07" w:rsidP="00E25A07">
          <w:pPr>
            <w:pStyle w:val="Piepagina"/>
          </w:pPr>
          <w:r>
            <w:rPr>
              <w:b/>
              <w:bCs/>
            </w:rPr>
            <w:t>Teléfono</w:t>
          </w:r>
          <w:r>
            <w:t xml:space="preserve">   (506) 2243-4848</w:t>
          </w:r>
        </w:p>
        <w:p w14:paraId="43FE8C51" w14:textId="77777777" w:rsidR="00E25A07" w:rsidRDefault="00E25A07" w:rsidP="00E25A07">
          <w:pPr>
            <w:pStyle w:val="Piepagina"/>
          </w:pPr>
          <w:r>
            <w:rPr>
              <w:b/>
              <w:bCs/>
            </w:rPr>
            <w:t>Facsímile</w:t>
          </w:r>
          <w:r>
            <w:t xml:space="preserve">  (506) 2243-4849</w:t>
          </w:r>
        </w:p>
      </w:tc>
      <w:tc>
        <w:tcPr>
          <w:tcW w:w="2835" w:type="dxa"/>
          <w:shd w:val="clear" w:color="auto" w:fill="FFFFFF"/>
          <w:vAlign w:val="center"/>
        </w:tcPr>
        <w:p w14:paraId="1759CC3B" w14:textId="77777777" w:rsidR="00E25A07" w:rsidRDefault="00E25A07" w:rsidP="00E25A07">
          <w:pPr>
            <w:pStyle w:val="Piepagina"/>
          </w:pPr>
          <w:r>
            <w:rPr>
              <w:b/>
              <w:bCs/>
            </w:rPr>
            <w:t>Apartado</w:t>
          </w:r>
          <w:r>
            <w:t xml:space="preserve"> 2762-1000</w:t>
          </w:r>
        </w:p>
        <w:p w14:paraId="6AFCADE0" w14:textId="77777777" w:rsidR="00E25A07" w:rsidRDefault="00E25A07" w:rsidP="00E25A07">
          <w:pPr>
            <w:pStyle w:val="Piepagina"/>
          </w:pPr>
          <w:r>
            <w:t>San José, Costa Rica</w:t>
          </w:r>
        </w:p>
      </w:tc>
      <w:tc>
        <w:tcPr>
          <w:tcW w:w="2410" w:type="dxa"/>
          <w:shd w:val="clear" w:color="auto" w:fill="FFFFFF"/>
          <w:vAlign w:val="center"/>
        </w:tcPr>
        <w:p w14:paraId="7AA75E49" w14:textId="77777777" w:rsidR="00E25A07" w:rsidRDefault="00E25A07" w:rsidP="00E25A07">
          <w:pPr>
            <w:pStyle w:val="Piepagina"/>
          </w:pPr>
          <w:r>
            <w:t>www.sugef.fi.cr</w:t>
          </w:r>
        </w:p>
        <w:p w14:paraId="01D916BA" w14:textId="77777777" w:rsidR="00E25A07" w:rsidRDefault="00E25A07" w:rsidP="00E25A07">
          <w:pPr>
            <w:pStyle w:val="Piepagina"/>
          </w:pPr>
          <w:r>
            <w:t>sugefcr@sugef.fi.cr</w:t>
          </w:r>
        </w:p>
      </w:tc>
    </w:tr>
  </w:tbl>
  <w:p w14:paraId="064F378E" w14:textId="7B6DCA5C" w:rsidR="00E25A07" w:rsidRDefault="00C31E91">
    <w:pPr>
      <w:pStyle w:val="Piedepgina"/>
      <w:jc w:val="right"/>
    </w:pPr>
    <w:sdt>
      <w:sdtPr>
        <w:id w:val="2079404854"/>
        <w:docPartObj>
          <w:docPartGallery w:val="Page Numbers (Bottom of Page)"/>
          <w:docPartUnique/>
        </w:docPartObj>
      </w:sdtPr>
      <w:sdtEndPr/>
      <w:sdtContent>
        <w:r w:rsidR="00E25A07">
          <w:fldChar w:fldCharType="begin"/>
        </w:r>
        <w:r w:rsidR="00E25A07">
          <w:instrText>PAGE   \* MERGEFORMAT</w:instrText>
        </w:r>
        <w:r w:rsidR="00E25A07">
          <w:fldChar w:fldCharType="separate"/>
        </w:r>
        <w:r>
          <w:rPr>
            <w:noProof/>
          </w:rPr>
          <w:t>1</w:t>
        </w:r>
        <w:r w:rsidR="00E25A07">
          <w:fldChar w:fldCharType="end"/>
        </w:r>
      </w:sdtContent>
    </w:sdt>
  </w:p>
  <w:p w14:paraId="1B774D0F" w14:textId="77777777" w:rsidR="001C075B" w:rsidRDefault="001C075B" w:rsidP="00FA54DF">
    <w:pPr>
      <w:pStyle w:val="Piedepgina"/>
      <w:tabs>
        <w:tab w:val="center" w:pos="4305"/>
        <w:tab w:val="left" w:pos="6290"/>
      </w:tabs>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6887B" w14:textId="77777777" w:rsidR="001C075B" w:rsidRDefault="001C075B" w:rsidP="008C0BF0">
    <w:pPr>
      <w:pStyle w:val="Piepagina"/>
      <w:jc w:val="center"/>
    </w:pPr>
    <w:r>
      <w:rPr>
        <w:noProof/>
        <w:lang w:val="es-CR" w:eastAsia="es-CR"/>
      </w:rPr>
      <w:drawing>
        <wp:anchor distT="0" distB="0" distL="114300" distR="114300" simplePos="0" relativeHeight="251669504" behindDoc="1" locked="0" layoutInCell="1" allowOverlap="1" wp14:anchorId="7BACA65C" wp14:editId="29770F4F">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anchorId="57931527" wp14:editId="409F4FA3">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EEB38" w14:textId="77777777" w:rsidR="001C075B" w:rsidRPr="00FA54DF" w:rsidRDefault="001C075B">
                          <w:pPr>
                            <w:rPr>
                              <w:color w:val="003A68"/>
                              <w:sz w:val="14"/>
                              <w:szCs w:val="14"/>
                            </w:rPr>
                          </w:pPr>
                          <w:r w:rsidRPr="00FA54DF">
                            <w:rPr>
                              <w:color w:val="003A68"/>
                              <w:sz w:val="14"/>
                              <w:szCs w:val="14"/>
                            </w:rPr>
                            <w:t xml:space="preserve">T. (506) 2243-3631   </w:t>
                          </w:r>
                        </w:p>
                        <w:p w14:paraId="4952965D" w14:textId="77777777" w:rsidR="001C075B" w:rsidRPr="00FA54DF" w:rsidRDefault="001C075B">
                          <w:pPr>
                            <w:rPr>
                              <w:color w:val="003A68"/>
                              <w:sz w:val="14"/>
                              <w:szCs w:val="14"/>
                            </w:rPr>
                          </w:pPr>
                          <w:r w:rsidRPr="00FA54DF">
                            <w:rPr>
                              <w:color w:val="003A68"/>
                              <w:sz w:val="14"/>
                              <w:szCs w:val="14"/>
                            </w:rPr>
                            <w:t xml:space="preserve">F. (506) 2243-4579   </w:t>
                          </w:r>
                        </w:p>
                        <w:p w14:paraId="005F5185" w14:textId="77777777" w:rsidR="001C075B" w:rsidRDefault="001C075B">
                          <w:pPr>
                            <w:rPr>
                              <w:color w:val="003A68"/>
                              <w:sz w:val="14"/>
                              <w:szCs w:val="14"/>
                            </w:rPr>
                          </w:pPr>
                          <w:r w:rsidRPr="00FA54DF">
                            <w:rPr>
                              <w:color w:val="003A68"/>
                              <w:sz w:val="14"/>
                              <w:szCs w:val="14"/>
                            </w:rPr>
                            <w:t>Apdo. 10058-1000</w:t>
                          </w:r>
                        </w:p>
                        <w:p w14:paraId="63C705B9" w14:textId="77777777" w:rsidR="001C075B" w:rsidRDefault="001C075B">
                          <w:pPr>
                            <w:rPr>
                              <w:color w:val="003A68"/>
                              <w:sz w:val="14"/>
                              <w:szCs w:val="14"/>
                            </w:rPr>
                          </w:pPr>
                          <w:r w:rsidRPr="00FA54DF">
                            <w:rPr>
                              <w:color w:val="003A68"/>
                              <w:sz w:val="14"/>
                              <w:szCs w:val="14"/>
                            </w:rPr>
                            <w:t>Av. 1 y Central, Calles 2 y 4</w:t>
                          </w:r>
                        </w:p>
                        <w:p w14:paraId="65338311" w14:textId="77777777" w:rsidR="001C075B" w:rsidRPr="00FA54DF" w:rsidRDefault="001C075B">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931527" id="_x0000_t202" coordsize="21600,21600" o:spt="202" path="m,l,21600r21600,l21600,xe">
              <v:stroke joinstyle="miter"/>
              <v:path gradientshapeok="t" o:connecttype="rect"/>
            </v:shapetype>
            <v:shape id="Text Box 3" o:spid="_x0000_s1026" type="#_x0000_t202"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filled="f" stroked="f">
              <v:textbox>
                <w:txbxContent>
                  <w:p w14:paraId="3ABEEB38" w14:textId="77777777" w:rsidR="001C075B" w:rsidRPr="00FA54DF" w:rsidRDefault="001C075B">
                    <w:pPr>
                      <w:rPr>
                        <w:color w:val="003A68"/>
                        <w:sz w:val="14"/>
                        <w:szCs w:val="14"/>
                      </w:rPr>
                    </w:pPr>
                    <w:r w:rsidRPr="00FA54DF">
                      <w:rPr>
                        <w:color w:val="003A68"/>
                        <w:sz w:val="14"/>
                        <w:szCs w:val="14"/>
                      </w:rPr>
                      <w:t xml:space="preserve">T. (506) 2243-3631   </w:t>
                    </w:r>
                  </w:p>
                  <w:p w14:paraId="4952965D" w14:textId="77777777" w:rsidR="001C075B" w:rsidRPr="00FA54DF" w:rsidRDefault="001C075B">
                    <w:pPr>
                      <w:rPr>
                        <w:color w:val="003A68"/>
                        <w:sz w:val="14"/>
                        <w:szCs w:val="14"/>
                      </w:rPr>
                    </w:pPr>
                    <w:r w:rsidRPr="00FA54DF">
                      <w:rPr>
                        <w:color w:val="003A68"/>
                        <w:sz w:val="14"/>
                        <w:szCs w:val="14"/>
                      </w:rPr>
                      <w:t xml:space="preserve">F. (506) 2243-4579   </w:t>
                    </w:r>
                  </w:p>
                  <w:p w14:paraId="005F5185" w14:textId="77777777" w:rsidR="001C075B" w:rsidRDefault="001C075B">
                    <w:pPr>
                      <w:rPr>
                        <w:color w:val="003A68"/>
                        <w:sz w:val="14"/>
                        <w:szCs w:val="14"/>
                      </w:rPr>
                    </w:pPr>
                    <w:r w:rsidRPr="00FA54DF">
                      <w:rPr>
                        <w:color w:val="003A68"/>
                        <w:sz w:val="14"/>
                        <w:szCs w:val="14"/>
                      </w:rPr>
                      <w:t>Apdo. 10058-1000</w:t>
                    </w:r>
                  </w:p>
                  <w:p w14:paraId="63C705B9" w14:textId="77777777" w:rsidR="001C075B" w:rsidRDefault="001C075B">
                    <w:pPr>
                      <w:rPr>
                        <w:color w:val="003A68"/>
                        <w:sz w:val="14"/>
                        <w:szCs w:val="14"/>
                      </w:rPr>
                    </w:pPr>
                    <w:r w:rsidRPr="00FA54DF">
                      <w:rPr>
                        <w:color w:val="003A68"/>
                        <w:sz w:val="14"/>
                        <w:szCs w:val="14"/>
                      </w:rPr>
                      <w:t>Av. 1 y Central, Calles 2 y 4</w:t>
                    </w:r>
                  </w:p>
                  <w:p w14:paraId="65338311" w14:textId="77777777" w:rsidR="001C075B" w:rsidRPr="00FA54DF" w:rsidRDefault="001C075B">
                    <w:pPr>
                      <w:rPr>
                        <w:color w:val="003A68"/>
                        <w:sz w:val="14"/>
                        <w:szCs w:val="14"/>
                      </w:rPr>
                    </w:pPr>
                  </w:p>
                </w:txbxContent>
              </v:textbox>
            </v:shape>
          </w:pict>
        </mc:Fallback>
      </mc:AlternateContent>
    </w:r>
  </w:p>
  <w:p w14:paraId="7F1E9EE9" w14:textId="77777777" w:rsidR="001C075B" w:rsidRPr="00D43D57" w:rsidRDefault="001C075B" w:rsidP="008C0BF0">
    <w:pPr>
      <w:pStyle w:val="Piepagina"/>
      <w:jc w:val="center"/>
    </w:pPr>
  </w:p>
  <w:p w14:paraId="54C354BE" w14:textId="77777777" w:rsidR="001C075B" w:rsidRDefault="001C07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9FBE3" w14:textId="77777777" w:rsidR="00D66AC4" w:rsidRDefault="00D66AC4" w:rsidP="00D43D57">
      <w:r>
        <w:separator/>
      </w:r>
    </w:p>
  </w:footnote>
  <w:footnote w:type="continuationSeparator" w:id="0">
    <w:p w14:paraId="4E14AEFF" w14:textId="77777777" w:rsidR="00D66AC4" w:rsidRDefault="00D66AC4" w:rsidP="00D43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F7680" w14:textId="77777777" w:rsidR="001C075B" w:rsidRDefault="001327EB" w:rsidP="001327EB">
    <w:pPr>
      <w:pStyle w:val="Piedepgina"/>
      <w:jc w:val="center"/>
    </w:pPr>
    <w:r>
      <w:rPr>
        <w:noProof/>
        <w:lang w:val="es-CR" w:eastAsia="es-CR"/>
      </w:rPr>
      <w:drawing>
        <wp:inline distT="0" distB="0" distL="0" distR="0" wp14:anchorId="7DC90C45" wp14:editId="24E8AE40">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7CA9C" w14:textId="77777777" w:rsidR="00D96D0A" w:rsidRPr="00D96D0A" w:rsidRDefault="00D96D0A" w:rsidP="00D96D0A">
    <w:pPr>
      <w:pStyle w:val="Encabezado"/>
      <w:pBdr>
        <w:bottom w:val="single" w:sz="4" w:space="3" w:color="auto"/>
      </w:pBdr>
      <w:ind w:right="-1"/>
      <w:rPr>
        <w:b/>
        <w:sz w:val="20"/>
        <w:szCs w:val="20"/>
      </w:rPr>
    </w:pPr>
    <w:r>
      <w:rPr>
        <w:noProof/>
        <w:lang w:val="es-CR" w:eastAsia="es-CR"/>
      </w:rPr>
      <w:drawing>
        <wp:inline distT="0" distB="0" distL="0" distR="0" wp14:anchorId="0D719868" wp14:editId="59F08860">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14:paraId="1FE49B50" w14:textId="77777777" w:rsidR="001C075B" w:rsidRDefault="001C075B" w:rsidP="00D96D0A">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97EA7"/>
    <w:multiLevelType w:val="hybridMultilevel"/>
    <w:tmpl w:val="5D12EFB0"/>
    <w:lvl w:ilvl="0" w:tplc="FBD83CD2">
      <w:start w:val="1"/>
      <w:numFmt w:val="upperRoman"/>
      <w:lvlText w:val="%1."/>
      <w:lvlJc w:val="left"/>
      <w:pPr>
        <w:ind w:left="753" w:hanging="720"/>
      </w:pPr>
      <w:rPr>
        <w:rFonts w:hint="default"/>
        <w:b/>
      </w:rPr>
    </w:lvl>
    <w:lvl w:ilvl="1" w:tplc="140A0019" w:tentative="1">
      <w:start w:val="1"/>
      <w:numFmt w:val="lowerLetter"/>
      <w:lvlText w:val="%2."/>
      <w:lvlJc w:val="left"/>
      <w:pPr>
        <w:ind w:left="1113" w:hanging="360"/>
      </w:pPr>
    </w:lvl>
    <w:lvl w:ilvl="2" w:tplc="140A001B" w:tentative="1">
      <w:start w:val="1"/>
      <w:numFmt w:val="lowerRoman"/>
      <w:lvlText w:val="%3."/>
      <w:lvlJc w:val="right"/>
      <w:pPr>
        <w:ind w:left="1833" w:hanging="180"/>
      </w:pPr>
    </w:lvl>
    <w:lvl w:ilvl="3" w:tplc="140A000F" w:tentative="1">
      <w:start w:val="1"/>
      <w:numFmt w:val="decimal"/>
      <w:lvlText w:val="%4."/>
      <w:lvlJc w:val="left"/>
      <w:pPr>
        <w:ind w:left="2553" w:hanging="360"/>
      </w:pPr>
    </w:lvl>
    <w:lvl w:ilvl="4" w:tplc="140A0019" w:tentative="1">
      <w:start w:val="1"/>
      <w:numFmt w:val="lowerLetter"/>
      <w:lvlText w:val="%5."/>
      <w:lvlJc w:val="left"/>
      <w:pPr>
        <w:ind w:left="3273" w:hanging="360"/>
      </w:pPr>
    </w:lvl>
    <w:lvl w:ilvl="5" w:tplc="140A001B" w:tentative="1">
      <w:start w:val="1"/>
      <w:numFmt w:val="lowerRoman"/>
      <w:lvlText w:val="%6."/>
      <w:lvlJc w:val="right"/>
      <w:pPr>
        <w:ind w:left="3993" w:hanging="180"/>
      </w:pPr>
    </w:lvl>
    <w:lvl w:ilvl="6" w:tplc="140A000F" w:tentative="1">
      <w:start w:val="1"/>
      <w:numFmt w:val="decimal"/>
      <w:lvlText w:val="%7."/>
      <w:lvlJc w:val="left"/>
      <w:pPr>
        <w:ind w:left="4713" w:hanging="360"/>
      </w:pPr>
    </w:lvl>
    <w:lvl w:ilvl="7" w:tplc="140A0019" w:tentative="1">
      <w:start w:val="1"/>
      <w:numFmt w:val="lowerLetter"/>
      <w:lvlText w:val="%8."/>
      <w:lvlJc w:val="left"/>
      <w:pPr>
        <w:ind w:left="5433" w:hanging="360"/>
      </w:pPr>
    </w:lvl>
    <w:lvl w:ilvl="8" w:tplc="140A001B" w:tentative="1">
      <w:start w:val="1"/>
      <w:numFmt w:val="lowerRoman"/>
      <w:lvlText w:val="%9."/>
      <w:lvlJc w:val="right"/>
      <w:pPr>
        <w:ind w:left="6153" w:hanging="180"/>
      </w:pPr>
    </w:lvl>
  </w:abstractNum>
  <w:abstractNum w:abstractNumId="11" w15:restartNumberingAfterBreak="0">
    <w:nsid w:val="0855580E"/>
    <w:multiLevelType w:val="hybridMultilevel"/>
    <w:tmpl w:val="482A0902"/>
    <w:lvl w:ilvl="0" w:tplc="140A0017">
      <w:start w:val="1"/>
      <w:numFmt w:val="lowerLetter"/>
      <w:lvlText w:val="%1)"/>
      <w:lvlJc w:val="left"/>
      <w:pPr>
        <w:ind w:left="393" w:hanging="360"/>
      </w:pPr>
      <w:rPr>
        <w:rFonts w:hint="default"/>
      </w:rPr>
    </w:lvl>
    <w:lvl w:ilvl="1" w:tplc="140A0019" w:tentative="1">
      <w:start w:val="1"/>
      <w:numFmt w:val="lowerLetter"/>
      <w:lvlText w:val="%2."/>
      <w:lvlJc w:val="left"/>
      <w:pPr>
        <w:ind w:left="1113" w:hanging="360"/>
      </w:pPr>
    </w:lvl>
    <w:lvl w:ilvl="2" w:tplc="140A001B" w:tentative="1">
      <w:start w:val="1"/>
      <w:numFmt w:val="lowerRoman"/>
      <w:lvlText w:val="%3."/>
      <w:lvlJc w:val="right"/>
      <w:pPr>
        <w:ind w:left="1833" w:hanging="180"/>
      </w:pPr>
    </w:lvl>
    <w:lvl w:ilvl="3" w:tplc="140A000F" w:tentative="1">
      <w:start w:val="1"/>
      <w:numFmt w:val="decimal"/>
      <w:lvlText w:val="%4."/>
      <w:lvlJc w:val="left"/>
      <w:pPr>
        <w:ind w:left="2553" w:hanging="360"/>
      </w:pPr>
    </w:lvl>
    <w:lvl w:ilvl="4" w:tplc="140A0019" w:tentative="1">
      <w:start w:val="1"/>
      <w:numFmt w:val="lowerLetter"/>
      <w:lvlText w:val="%5."/>
      <w:lvlJc w:val="left"/>
      <w:pPr>
        <w:ind w:left="3273" w:hanging="360"/>
      </w:pPr>
    </w:lvl>
    <w:lvl w:ilvl="5" w:tplc="140A001B" w:tentative="1">
      <w:start w:val="1"/>
      <w:numFmt w:val="lowerRoman"/>
      <w:lvlText w:val="%6."/>
      <w:lvlJc w:val="right"/>
      <w:pPr>
        <w:ind w:left="3993" w:hanging="180"/>
      </w:pPr>
    </w:lvl>
    <w:lvl w:ilvl="6" w:tplc="140A000F" w:tentative="1">
      <w:start w:val="1"/>
      <w:numFmt w:val="decimal"/>
      <w:lvlText w:val="%7."/>
      <w:lvlJc w:val="left"/>
      <w:pPr>
        <w:ind w:left="4713" w:hanging="360"/>
      </w:pPr>
    </w:lvl>
    <w:lvl w:ilvl="7" w:tplc="140A0019" w:tentative="1">
      <w:start w:val="1"/>
      <w:numFmt w:val="lowerLetter"/>
      <w:lvlText w:val="%8."/>
      <w:lvlJc w:val="left"/>
      <w:pPr>
        <w:ind w:left="5433" w:hanging="360"/>
      </w:pPr>
    </w:lvl>
    <w:lvl w:ilvl="8" w:tplc="140A001B" w:tentative="1">
      <w:start w:val="1"/>
      <w:numFmt w:val="lowerRoman"/>
      <w:lvlText w:val="%9."/>
      <w:lvlJc w:val="right"/>
      <w:pPr>
        <w:ind w:left="6153" w:hanging="180"/>
      </w:pPr>
    </w:lvl>
  </w:abstractNum>
  <w:abstractNum w:abstractNumId="12"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3" w15:restartNumberingAfterBreak="0">
    <w:nsid w:val="202F50FF"/>
    <w:multiLevelType w:val="hybridMultilevel"/>
    <w:tmpl w:val="F70E90D6"/>
    <w:lvl w:ilvl="0" w:tplc="140A000F">
      <w:start w:val="1"/>
      <w:numFmt w:val="decimal"/>
      <w:lvlText w:val="%1."/>
      <w:lvlJc w:val="left"/>
      <w:pPr>
        <w:ind w:left="753" w:hanging="360"/>
      </w:pPr>
    </w:lvl>
    <w:lvl w:ilvl="1" w:tplc="140A0019" w:tentative="1">
      <w:start w:val="1"/>
      <w:numFmt w:val="lowerLetter"/>
      <w:lvlText w:val="%2."/>
      <w:lvlJc w:val="left"/>
      <w:pPr>
        <w:ind w:left="1473" w:hanging="360"/>
      </w:pPr>
    </w:lvl>
    <w:lvl w:ilvl="2" w:tplc="140A001B" w:tentative="1">
      <w:start w:val="1"/>
      <w:numFmt w:val="lowerRoman"/>
      <w:lvlText w:val="%3."/>
      <w:lvlJc w:val="right"/>
      <w:pPr>
        <w:ind w:left="2193" w:hanging="180"/>
      </w:pPr>
    </w:lvl>
    <w:lvl w:ilvl="3" w:tplc="140A000F" w:tentative="1">
      <w:start w:val="1"/>
      <w:numFmt w:val="decimal"/>
      <w:lvlText w:val="%4."/>
      <w:lvlJc w:val="left"/>
      <w:pPr>
        <w:ind w:left="2913" w:hanging="360"/>
      </w:pPr>
    </w:lvl>
    <w:lvl w:ilvl="4" w:tplc="140A0019" w:tentative="1">
      <w:start w:val="1"/>
      <w:numFmt w:val="lowerLetter"/>
      <w:lvlText w:val="%5."/>
      <w:lvlJc w:val="left"/>
      <w:pPr>
        <w:ind w:left="3633" w:hanging="360"/>
      </w:pPr>
    </w:lvl>
    <w:lvl w:ilvl="5" w:tplc="140A001B" w:tentative="1">
      <w:start w:val="1"/>
      <w:numFmt w:val="lowerRoman"/>
      <w:lvlText w:val="%6."/>
      <w:lvlJc w:val="right"/>
      <w:pPr>
        <w:ind w:left="4353" w:hanging="180"/>
      </w:pPr>
    </w:lvl>
    <w:lvl w:ilvl="6" w:tplc="140A000F" w:tentative="1">
      <w:start w:val="1"/>
      <w:numFmt w:val="decimal"/>
      <w:lvlText w:val="%7."/>
      <w:lvlJc w:val="left"/>
      <w:pPr>
        <w:ind w:left="5073" w:hanging="360"/>
      </w:pPr>
    </w:lvl>
    <w:lvl w:ilvl="7" w:tplc="140A0019" w:tentative="1">
      <w:start w:val="1"/>
      <w:numFmt w:val="lowerLetter"/>
      <w:lvlText w:val="%8."/>
      <w:lvlJc w:val="left"/>
      <w:pPr>
        <w:ind w:left="5793" w:hanging="360"/>
      </w:pPr>
    </w:lvl>
    <w:lvl w:ilvl="8" w:tplc="140A001B" w:tentative="1">
      <w:start w:val="1"/>
      <w:numFmt w:val="lowerRoman"/>
      <w:lvlText w:val="%9."/>
      <w:lvlJc w:val="right"/>
      <w:pPr>
        <w:ind w:left="6513" w:hanging="180"/>
      </w:pPr>
    </w:lvl>
  </w:abstractNum>
  <w:abstractNum w:abstractNumId="14" w15:restartNumberingAfterBreak="0">
    <w:nsid w:val="2777371B"/>
    <w:multiLevelType w:val="hybridMultilevel"/>
    <w:tmpl w:val="50B0BED0"/>
    <w:lvl w:ilvl="0" w:tplc="94F62FF0">
      <w:start w:val="1"/>
      <w:numFmt w:val="lowerLetter"/>
      <w:lvlText w:val="%1)"/>
      <w:lvlJc w:val="left"/>
      <w:pPr>
        <w:ind w:left="393" w:hanging="360"/>
      </w:pPr>
      <w:rPr>
        <w:rFonts w:hint="default"/>
      </w:rPr>
    </w:lvl>
    <w:lvl w:ilvl="1" w:tplc="140A0019" w:tentative="1">
      <w:start w:val="1"/>
      <w:numFmt w:val="lowerLetter"/>
      <w:lvlText w:val="%2."/>
      <w:lvlJc w:val="left"/>
      <w:pPr>
        <w:ind w:left="1113" w:hanging="360"/>
      </w:pPr>
    </w:lvl>
    <w:lvl w:ilvl="2" w:tplc="140A001B" w:tentative="1">
      <w:start w:val="1"/>
      <w:numFmt w:val="lowerRoman"/>
      <w:lvlText w:val="%3."/>
      <w:lvlJc w:val="right"/>
      <w:pPr>
        <w:ind w:left="1833" w:hanging="180"/>
      </w:pPr>
    </w:lvl>
    <w:lvl w:ilvl="3" w:tplc="140A000F" w:tentative="1">
      <w:start w:val="1"/>
      <w:numFmt w:val="decimal"/>
      <w:lvlText w:val="%4."/>
      <w:lvlJc w:val="left"/>
      <w:pPr>
        <w:ind w:left="2553" w:hanging="360"/>
      </w:pPr>
    </w:lvl>
    <w:lvl w:ilvl="4" w:tplc="140A0019" w:tentative="1">
      <w:start w:val="1"/>
      <w:numFmt w:val="lowerLetter"/>
      <w:lvlText w:val="%5."/>
      <w:lvlJc w:val="left"/>
      <w:pPr>
        <w:ind w:left="3273" w:hanging="360"/>
      </w:pPr>
    </w:lvl>
    <w:lvl w:ilvl="5" w:tplc="140A001B" w:tentative="1">
      <w:start w:val="1"/>
      <w:numFmt w:val="lowerRoman"/>
      <w:lvlText w:val="%6."/>
      <w:lvlJc w:val="right"/>
      <w:pPr>
        <w:ind w:left="3993" w:hanging="180"/>
      </w:pPr>
    </w:lvl>
    <w:lvl w:ilvl="6" w:tplc="140A000F" w:tentative="1">
      <w:start w:val="1"/>
      <w:numFmt w:val="decimal"/>
      <w:lvlText w:val="%7."/>
      <w:lvlJc w:val="left"/>
      <w:pPr>
        <w:ind w:left="4713" w:hanging="360"/>
      </w:pPr>
    </w:lvl>
    <w:lvl w:ilvl="7" w:tplc="140A0019" w:tentative="1">
      <w:start w:val="1"/>
      <w:numFmt w:val="lowerLetter"/>
      <w:lvlText w:val="%8."/>
      <w:lvlJc w:val="left"/>
      <w:pPr>
        <w:ind w:left="5433" w:hanging="360"/>
      </w:pPr>
    </w:lvl>
    <w:lvl w:ilvl="8" w:tplc="140A001B" w:tentative="1">
      <w:start w:val="1"/>
      <w:numFmt w:val="lowerRoman"/>
      <w:lvlText w:val="%9."/>
      <w:lvlJc w:val="right"/>
      <w:pPr>
        <w:ind w:left="6153" w:hanging="180"/>
      </w:pPr>
    </w:lvl>
  </w:abstractNum>
  <w:abstractNum w:abstractNumId="15" w15:restartNumberingAfterBreak="0">
    <w:nsid w:val="2DF01A2C"/>
    <w:multiLevelType w:val="hybridMultilevel"/>
    <w:tmpl w:val="6BF64076"/>
    <w:lvl w:ilvl="0" w:tplc="140A0019">
      <w:start w:val="1"/>
      <w:numFmt w:val="lowerLetter"/>
      <w:lvlText w:val="%1."/>
      <w:lvlJc w:val="left"/>
      <w:pPr>
        <w:ind w:left="753" w:hanging="360"/>
      </w:pPr>
    </w:lvl>
    <w:lvl w:ilvl="1" w:tplc="140A0019" w:tentative="1">
      <w:start w:val="1"/>
      <w:numFmt w:val="lowerLetter"/>
      <w:lvlText w:val="%2."/>
      <w:lvlJc w:val="left"/>
      <w:pPr>
        <w:ind w:left="1473" w:hanging="360"/>
      </w:pPr>
    </w:lvl>
    <w:lvl w:ilvl="2" w:tplc="140A001B" w:tentative="1">
      <w:start w:val="1"/>
      <w:numFmt w:val="lowerRoman"/>
      <w:lvlText w:val="%3."/>
      <w:lvlJc w:val="right"/>
      <w:pPr>
        <w:ind w:left="2193" w:hanging="180"/>
      </w:pPr>
    </w:lvl>
    <w:lvl w:ilvl="3" w:tplc="140A000F" w:tentative="1">
      <w:start w:val="1"/>
      <w:numFmt w:val="decimal"/>
      <w:lvlText w:val="%4."/>
      <w:lvlJc w:val="left"/>
      <w:pPr>
        <w:ind w:left="2913" w:hanging="360"/>
      </w:pPr>
    </w:lvl>
    <w:lvl w:ilvl="4" w:tplc="140A0019" w:tentative="1">
      <w:start w:val="1"/>
      <w:numFmt w:val="lowerLetter"/>
      <w:lvlText w:val="%5."/>
      <w:lvlJc w:val="left"/>
      <w:pPr>
        <w:ind w:left="3633" w:hanging="360"/>
      </w:pPr>
    </w:lvl>
    <w:lvl w:ilvl="5" w:tplc="140A001B" w:tentative="1">
      <w:start w:val="1"/>
      <w:numFmt w:val="lowerRoman"/>
      <w:lvlText w:val="%6."/>
      <w:lvlJc w:val="right"/>
      <w:pPr>
        <w:ind w:left="4353" w:hanging="180"/>
      </w:pPr>
    </w:lvl>
    <w:lvl w:ilvl="6" w:tplc="140A000F" w:tentative="1">
      <w:start w:val="1"/>
      <w:numFmt w:val="decimal"/>
      <w:lvlText w:val="%7."/>
      <w:lvlJc w:val="left"/>
      <w:pPr>
        <w:ind w:left="5073" w:hanging="360"/>
      </w:pPr>
    </w:lvl>
    <w:lvl w:ilvl="7" w:tplc="140A0019" w:tentative="1">
      <w:start w:val="1"/>
      <w:numFmt w:val="lowerLetter"/>
      <w:lvlText w:val="%8."/>
      <w:lvlJc w:val="left"/>
      <w:pPr>
        <w:ind w:left="5793" w:hanging="360"/>
      </w:pPr>
    </w:lvl>
    <w:lvl w:ilvl="8" w:tplc="140A001B" w:tentative="1">
      <w:start w:val="1"/>
      <w:numFmt w:val="lowerRoman"/>
      <w:lvlText w:val="%9."/>
      <w:lvlJc w:val="right"/>
      <w:pPr>
        <w:ind w:left="6513" w:hanging="180"/>
      </w:pPr>
    </w:lvl>
  </w:abstractNum>
  <w:abstractNum w:abstractNumId="16" w15:restartNumberingAfterBreak="0">
    <w:nsid w:val="3AC964F4"/>
    <w:multiLevelType w:val="hybridMultilevel"/>
    <w:tmpl w:val="880E2648"/>
    <w:lvl w:ilvl="0" w:tplc="140A0001">
      <w:start w:val="1"/>
      <w:numFmt w:val="bullet"/>
      <w:lvlText w:val=""/>
      <w:lvlJc w:val="left"/>
      <w:pPr>
        <w:ind w:left="753" w:hanging="360"/>
      </w:pPr>
      <w:rPr>
        <w:rFonts w:ascii="Symbol" w:hAnsi="Symbol" w:hint="default"/>
      </w:rPr>
    </w:lvl>
    <w:lvl w:ilvl="1" w:tplc="140A0003" w:tentative="1">
      <w:start w:val="1"/>
      <w:numFmt w:val="bullet"/>
      <w:lvlText w:val="o"/>
      <w:lvlJc w:val="left"/>
      <w:pPr>
        <w:ind w:left="1473" w:hanging="360"/>
      </w:pPr>
      <w:rPr>
        <w:rFonts w:ascii="Courier New" w:hAnsi="Courier New" w:cs="Courier New" w:hint="default"/>
      </w:rPr>
    </w:lvl>
    <w:lvl w:ilvl="2" w:tplc="140A0005" w:tentative="1">
      <w:start w:val="1"/>
      <w:numFmt w:val="bullet"/>
      <w:lvlText w:val=""/>
      <w:lvlJc w:val="left"/>
      <w:pPr>
        <w:ind w:left="2193" w:hanging="360"/>
      </w:pPr>
      <w:rPr>
        <w:rFonts w:ascii="Wingdings" w:hAnsi="Wingdings" w:hint="default"/>
      </w:rPr>
    </w:lvl>
    <w:lvl w:ilvl="3" w:tplc="140A0001" w:tentative="1">
      <w:start w:val="1"/>
      <w:numFmt w:val="bullet"/>
      <w:lvlText w:val=""/>
      <w:lvlJc w:val="left"/>
      <w:pPr>
        <w:ind w:left="2913" w:hanging="360"/>
      </w:pPr>
      <w:rPr>
        <w:rFonts w:ascii="Symbol" w:hAnsi="Symbol" w:hint="default"/>
      </w:rPr>
    </w:lvl>
    <w:lvl w:ilvl="4" w:tplc="140A0003" w:tentative="1">
      <w:start w:val="1"/>
      <w:numFmt w:val="bullet"/>
      <w:lvlText w:val="o"/>
      <w:lvlJc w:val="left"/>
      <w:pPr>
        <w:ind w:left="3633" w:hanging="360"/>
      </w:pPr>
      <w:rPr>
        <w:rFonts w:ascii="Courier New" w:hAnsi="Courier New" w:cs="Courier New" w:hint="default"/>
      </w:rPr>
    </w:lvl>
    <w:lvl w:ilvl="5" w:tplc="140A0005" w:tentative="1">
      <w:start w:val="1"/>
      <w:numFmt w:val="bullet"/>
      <w:lvlText w:val=""/>
      <w:lvlJc w:val="left"/>
      <w:pPr>
        <w:ind w:left="4353" w:hanging="360"/>
      </w:pPr>
      <w:rPr>
        <w:rFonts w:ascii="Wingdings" w:hAnsi="Wingdings" w:hint="default"/>
      </w:rPr>
    </w:lvl>
    <w:lvl w:ilvl="6" w:tplc="140A0001" w:tentative="1">
      <w:start w:val="1"/>
      <w:numFmt w:val="bullet"/>
      <w:lvlText w:val=""/>
      <w:lvlJc w:val="left"/>
      <w:pPr>
        <w:ind w:left="5073" w:hanging="360"/>
      </w:pPr>
      <w:rPr>
        <w:rFonts w:ascii="Symbol" w:hAnsi="Symbol" w:hint="default"/>
      </w:rPr>
    </w:lvl>
    <w:lvl w:ilvl="7" w:tplc="140A0003" w:tentative="1">
      <w:start w:val="1"/>
      <w:numFmt w:val="bullet"/>
      <w:lvlText w:val="o"/>
      <w:lvlJc w:val="left"/>
      <w:pPr>
        <w:ind w:left="5793" w:hanging="360"/>
      </w:pPr>
      <w:rPr>
        <w:rFonts w:ascii="Courier New" w:hAnsi="Courier New" w:cs="Courier New" w:hint="default"/>
      </w:rPr>
    </w:lvl>
    <w:lvl w:ilvl="8" w:tplc="140A0005" w:tentative="1">
      <w:start w:val="1"/>
      <w:numFmt w:val="bullet"/>
      <w:lvlText w:val=""/>
      <w:lvlJc w:val="left"/>
      <w:pPr>
        <w:ind w:left="6513" w:hanging="360"/>
      </w:pPr>
      <w:rPr>
        <w:rFonts w:ascii="Wingdings" w:hAnsi="Wingdings" w:hint="default"/>
      </w:rPr>
    </w:lvl>
  </w:abstractNum>
  <w:abstractNum w:abstractNumId="17" w15:restartNumberingAfterBreak="0">
    <w:nsid w:val="40000CC3"/>
    <w:multiLevelType w:val="hybridMultilevel"/>
    <w:tmpl w:val="7626261E"/>
    <w:lvl w:ilvl="0" w:tplc="AA924892">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4C523A6E"/>
    <w:multiLevelType w:val="hybridMultilevel"/>
    <w:tmpl w:val="7C50AC4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20" w15:restartNumberingAfterBreak="0">
    <w:nsid w:val="6F776DAA"/>
    <w:multiLevelType w:val="hybridMultilevel"/>
    <w:tmpl w:val="C03C57AA"/>
    <w:lvl w:ilvl="0" w:tplc="6E92327A">
      <w:start w:val="2"/>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740A7101"/>
    <w:multiLevelType w:val="hybridMultilevel"/>
    <w:tmpl w:val="E902826C"/>
    <w:lvl w:ilvl="0" w:tplc="CDDCF794">
      <w:start w:val="1"/>
      <w:numFmt w:val="decimal"/>
      <w:lvlText w:val="%1."/>
      <w:lvlJc w:val="left"/>
      <w:pPr>
        <w:ind w:left="720" w:hanging="360"/>
      </w:pPr>
      <w:rPr>
        <w:rFonts w:hint="default"/>
        <w:lang w:val="es-E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2"/>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8"/>
  </w:num>
  <w:num w:numId="15">
    <w:abstractNumId w:val="17"/>
  </w:num>
  <w:num w:numId="16">
    <w:abstractNumId w:val="14"/>
  </w:num>
  <w:num w:numId="17">
    <w:abstractNumId w:val="20"/>
  </w:num>
  <w:num w:numId="18">
    <w:abstractNumId w:val="10"/>
  </w:num>
  <w:num w:numId="19">
    <w:abstractNumId w:val="15"/>
  </w:num>
  <w:num w:numId="20">
    <w:abstractNumId w:val="11"/>
  </w:num>
  <w:num w:numId="21">
    <w:abstractNumId w:val="16"/>
  </w:num>
  <w:num w:numId="22">
    <w:abstractNumId w:val="13"/>
  </w:num>
  <w:num w:numId="23">
    <w:abstractNumId w:val="16"/>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287"/>
    <w:rsid w:val="000064A4"/>
    <w:rsid w:val="000235B5"/>
    <w:rsid w:val="00026C85"/>
    <w:rsid w:val="00041BDD"/>
    <w:rsid w:val="000439A6"/>
    <w:rsid w:val="00060C03"/>
    <w:rsid w:val="000646DD"/>
    <w:rsid w:val="00081865"/>
    <w:rsid w:val="00082968"/>
    <w:rsid w:val="000C62BB"/>
    <w:rsid w:val="000E0AC6"/>
    <w:rsid w:val="000F34AE"/>
    <w:rsid w:val="00101404"/>
    <w:rsid w:val="00117501"/>
    <w:rsid w:val="001322B4"/>
    <w:rsid w:val="001327EB"/>
    <w:rsid w:val="0016220C"/>
    <w:rsid w:val="001653C6"/>
    <w:rsid w:val="001946F4"/>
    <w:rsid w:val="0019657A"/>
    <w:rsid w:val="001A6574"/>
    <w:rsid w:val="001C075B"/>
    <w:rsid w:val="001C5806"/>
    <w:rsid w:val="001E0448"/>
    <w:rsid w:val="00204EA7"/>
    <w:rsid w:val="00226C4E"/>
    <w:rsid w:val="00230C67"/>
    <w:rsid w:val="0024063E"/>
    <w:rsid w:val="00250BB8"/>
    <w:rsid w:val="002645B7"/>
    <w:rsid w:val="002C56A4"/>
    <w:rsid w:val="002E2B0A"/>
    <w:rsid w:val="002E3589"/>
    <w:rsid w:val="002E56D1"/>
    <w:rsid w:val="002E571B"/>
    <w:rsid w:val="002F08D5"/>
    <w:rsid w:val="003060E2"/>
    <w:rsid w:val="00310570"/>
    <w:rsid w:val="00317BBB"/>
    <w:rsid w:val="00322A87"/>
    <w:rsid w:val="003267FB"/>
    <w:rsid w:val="003312B8"/>
    <w:rsid w:val="00341EF2"/>
    <w:rsid w:val="00350287"/>
    <w:rsid w:val="003503A2"/>
    <w:rsid w:val="003554C5"/>
    <w:rsid w:val="00365794"/>
    <w:rsid w:val="00373B22"/>
    <w:rsid w:val="00385CC2"/>
    <w:rsid w:val="003C4C71"/>
    <w:rsid w:val="003E4EDB"/>
    <w:rsid w:val="00410551"/>
    <w:rsid w:val="00414B77"/>
    <w:rsid w:val="00427002"/>
    <w:rsid w:val="00447A41"/>
    <w:rsid w:val="004822E6"/>
    <w:rsid w:val="00492FE3"/>
    <w:rsid w:val="004D7F44"/>
    <w:rsid w:val="004F74E7"/>
    <w:rsid w:val="005105C4"/>
    <w:rsid w:val="0053623F"/>
    <w:rsid w:val="00547243"/>
    <w:rsid w:val="00550D78"/>
    <w:rsid w:val="00557369"/>
    <w:rsid w:val="005706D1"/>
    <w:rsid w:val="00571E3D"/>
    <w:rsid w:val="005739A8"/>
    <w:rsid w:val="005751FC"/>
    <w:rsid w:val="00577A95"/>
    <w:rsid w:val="005852CF"/>
    <w:rsid w:val="00590F07"/>
    <w:rsid w:val="0059392E"/>
    <w:rsid w:val="005B448F"/>
    <w:rsid w:val="005C173B"/>
    <w:rsid w:val="005E07F2"/>
    <w:rsid w:val="005E39BB"/>
    <w:rsid w:val="006033C4"/>
    <w:rsid w:val="00603B3F"/>
    <w:rsid w:val="00604A3D"/>
    <w:rsid w:val="0060703F"/>
    <w:rsid w:val="00612C34"/>
    <w:rsid w:val="00614D68"/>
    <w:rsid w:val="006168C9"/>
    <w:rsid w:val="00620B23"/>
    <w:rsid w:val="0062633F"/>
    <w:rsid w:val="00630B5C"/>
    <w:rsid w:val="00635AC4"/>
    <w:rsid w:val="00640202"/>
    <w:rsid w:val="006471B8"/>
    <w:rsid w:val="00662901"/>
    <w:rsid w:val="00681F7A"/>
    <w:rsid w:val="00692661"/>
    <w:rsid w:val="006B1C60"/>
    <w:rsid w:val="006C2059"/>
    <w:rsid w:val="006E3610"/>
    <w:rsid w:val="006E6F58"/>
    <w:rsid w:val="0071134B"/>
    <w:rsid w:val="00714DC4"/>
    <w:rsid w:val="00742CF0"/>
    <w:rsid w:val="0074397B"/>
    <w:rsid w:val="007455FF"/>
    <w:rsid w:val="00755896"/>
    <w:rsid w:val="00765619"/>
    <w:rsid w:val="007736D4"/>
    <w:rsid w:val="00783B00"/>
    <w:rsid w:val="0079518D"/>
    <w:rsid w:val="007B18D6"/>
    <w:rsid w:val="007B51DD"/>
    <w:rsid w:val="007D1328"/>
    <w:rsid w:val="007F1723"/>
    <w:rsid w:val="007F327D"/>
    <w:rsid w:val="007F3A44"/>
    <w:rsid w:val="007F5430"/>
    <w:rsid w:val="008202A0"/>
    <w:rsid w:val="008310AB"/>
    <w:rsid w:val="00832753"/>
    <w:rsid w:val="00842773"/>
    <w:rsid w:val="0085692C"/>
    <w:rsid w:val="00864362"/>
    <w:rsid w:val="00887400"/>
    <w:rsid w:val="00892708"/>
    <w:rsid w:val="00893B0D"/>
    <w:rsid w:val="00893FC1"/>
    <w:rsid w:val="00895097"/>
    <w:rsid w:val="008A1AA2"/>
    <w:rsid w:val="008A63B7"/>
    <w:rsid w:val="008B3838"/>
    <w:rsid w:val="008C0BF0"/>
    <w:rsid w:val="008D0528"/>
    <w:rsid w:val="008E5850"/>
    <w:rsid w:val="008F1461"/>
    <w:rsid w:val="008F2913"/>
    <w:rsid w:val="008F33F5"/>
    <w:rsid w:val="00904CBE"/>
    <w:rsid w:val="00936085"/>
    <w:rsid w:val="009475B6"/>
    <w:rsid w:val="00962265"/>
    <w:rsid w:val="00966CA3"/>
    <w:rsid w:val="0097235C"/>
    <w:rsid w:val="00977CEE"/>
    <w:rsid w:val="00982147"/>
    <w:rsid w:val="00983CB1"/>
    <w:rsid w:val="00984A65"/>
    <w:rsid w:val="009908DE"/>
    <w:rsid w:val="00997A03"/>
    <w:rsid w:val="009B5E5E"/>
    <w:rsid w:val="009C47FE"/>
    <w:rsid w:val="009D0353"/>
    <w:rsid w:val="009F54CB"/>
    <w:rsid w:val="00A208C2"/>
    <w:rsid w:val="00A26E9E"/>
    <w:rsid w:val="00A34523"/>
    <w:rsid w:val="00A76A2E"/>
    <w:rsid w:val="00A84CDB"/>
    <w:rsid w:val="00A906DD"/>
    <w:rsid w:val="00AC5138"/>
    <w:rsid w:val="00AC5E12"/>
    <w:rsid w:val="00AE3929"/>
    <w:rsid w:val="00AF3E56"/>
    <w:rsid w:val="00AF45B7"/>
    <w:rsid w:val="00B031C6"/>
    <w:rsid w:val="00B079EC"/>
    <w:rsid w:val="00B1318C"/>
    <w:rsid w:val="00B43C40"/>
    <w:rsid w:val="00B464F6"/>
    <w:rsid w:val="00B77CF0"/>
    <w:rsid w:val="00B80284"/>
    <w:rsid w:val="00B80CB8"/>
    <w:rsid w:val="00B84607"/>
    <w:rsid w:val="00B84E87"/>
    <w:rsid w:val="00B90216"/>
    <w:rsid w:val="00B94DE2"/>
    <w:rsid w:val="00BA112E"/>
    <w:rsid w:val="00BA711C"/>
    <w:rsid w:val="00BB0F2F"/>
    <w:rsid w:val="00BB470C"/>
    <w:rsid w:val="00BC03D6"/>
    <w:rsid w:val="00BD2AA0"/>
    <w:rsid w:val="00BE119A"/>
    <w:rsid w:val="00BE6A0B"/>
    <w:rsid w:val="00BE7B10"/>
    <w:rsid w:val="00BF7C63"/>
    <w:rsid w:val="00C039CE"/>
    <w:rsid w:val="00C051E5"/>
    <w:rsid w:val="00C149D9"/>
    <w:rsid w:val="00C1795E"/>
    <w:rsid w:val="00C22C6C"/>
    <w:rsid w:val="00C31E91"/>
    <w:rsid w:val="00C414C9"/>
    <w:rsid w:val="00C42047"/>
    <w:rsid w:val="00C5093E"/>
    <w:rsid w:val="00C60480"/>
    <w:rsid w:val="00C64425"/>
    <w:rsid w:val="00C809BA"/>
    <w:rsid w:val="00C9305E"/>
    <w:rsid w:val="00CA2739"/>
    <w:rsid w:val="00CA3FA8"/>
    <w:rsid w:val="00CA72A2"/>
    <w:rsid w:val="00CB07CA"/>
    <w:rsid w:val="00D03728"/>
    <w:rsid w:val="00D06E99"/>
    <w:rsid w:val="00D102F8"/>
    <w:rsid w:val="00D10AD8"/>
    <w:rsid w:val="00D2424F"/>
    <w:rsid w:val="00D26EDE"/>
    <w:rsid w:val="00D32808"/>
    <w:rsid w:val="00D43D57"/>
    <w:rsid w:val="00D44EF3"/>
    <w:rsid w:val="00D45FC0"/>
    <w:rsid w:val="00D54C08"/>
    <w:rsid w:val="00D55CA3"/>
    <w:rsid w:val="00D66AC4"/>
    <w:rsid w:val="00D96D0A"/>
    <w:rsid w:val="00DB3508"/>
    <w:rsid w:val="00DB3E70"/>
    <w:rsid w:val="00DC2193"/>
    <w:rsid w:val="00DC3B8E"/>
    <w:rsid w:val="00DD1FCE"/>
    <w:rsid w:val="00DE08C6"/>
    <w:rsid w:val="00DE43B7"/>
    <w:rsid w:val="00E11252"/>
    <w:rsid w:val="00E13C47"/>
    <w:rsid w:val="00E237BE"/>
    <w:rsid w:val="00E25A07"/>
    <w:rsid w:val="00E5185D"/>
    <w:rsid w:val="00E75AC8"/>
    <w:rsid w:val="00E82177"/>
    <w:rsid w:val="00EB4E27"/>
    <w:rsid w:val="00EB71D8"/>
    <w:rsid w:val="00EC2E48"/>
    <w:rsid w:val="00EC4A15"/>
    <w:rsid w:val="00ED0FDD"/>
    <w:rsid w:val="00EE00D4"/>
    <w:rsid w:val="00EE3A47"/>
    <w:rsid w:val="00EE5107"/>
    <w:rsid w:val="00EF0243"/>
    <w:rsid w:val="00EF0C8B"/>
    <w:rsid w:val="00F10AFE"/>
    <w:rsid w:val="00F1102D"/>
    <w:rsid w:val="00F1297C"/>
    <w:rsid w:val="00F12A97"/>
    <w:rsid w:val="00F6038D"/>
    <w:rsid w:val="00F654F5"/>
    <w:rsid w:val="00F731A3"/>
    <w:rsid w:val="00F8680D"/>
    <w:rsid w:val="00FA1E58"/>
    <w:rsid w:val="00FA54DF"/>
    <w:rsid w:val="00FA6994"/>
    <w:rsid w:val="00FB79EB"/>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45624257"/>
  <w15:docId w15:val="{4E5B673D-3A5F-4DC9-B6E8-84D99C6B5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mbria" w:hAnsi="Cambria"/>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Cambria" w:hAnsi="Cambria"/>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Cambria" w:hAnsi="Cambria"/>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paragraph" w:styleId="NormalWeb">
    <w:name w:val="Normal (Web)"/>
    <w:basedOn w:val="Normal"/>
    <w:uiPriority w:val="99"/>
    <w:locked/>
    <w:rsid w:val="00350287"/>
    <w:pPr>
      <w:spacing w:before="100" w:beforeAutospacing="1" w:after="100" w:afterAutospacing="1" w:line="240" w:lineRule="auto"/>
      <w:jc w:val="left"/>
    </w:pPr>
    <w:rPr>
      <w:rFonts w:ascii="Times New Roman" w:hAnsi="Times New Roman"/>
      <w:color w:val="000000"/>
      <w:sz w:val="20"/>
      <w:szCs w:val="20"/>
      <w:lang w:eastAsia="es-ES"/>
    </w:rPr>
  </w:style>
  <w:style w:type="paragraph" w:styleId="Prrafodelista">
    <w:name w:val="List Paragraph"/>
    <w:basedOn w:val="Normal"/>
    <w:link w:val="PrrafodelistaCar"/>
    <w:uiPriority w:val="34"/>
    <w:qFormat/>
    <w:locked/>
    <w:rsid w:val="00350287"/>
    <w:pPr>
      <w:spacing w:after="200" w:line="276" w:lineRule="auto"/>
      <w:ind w:left="720"/>
      <w:contextualSpacing/>
      <w:jc w:val="left"/>
    </w:pPr>
    <w:rPr>
      <w:rFonts w:ascii="Calibri" w:eastAsia="Calibri" w:hAnsi="Calibri"/>
      <w:szCs w:val="22"/>
      <w:lang w:val="es-CR"/>
    </w:rPr>
  </w:style>
  <w:style w:type="paragraph" w:styleId="Textosinformato">
    <w:name w:val="Plain Text"/>
    <w:basedOn w:val="Normal"/>
    <w:link w:val="TextosinformatoCar"/>
    <w:uiPriority w:val="99"/>
    <w:locked/>
    <w:rsid w:val="00350287"/>
    <w:pPr>
      <w:autoSpaceDE w:val="0"/>
      <w:autoSpaceDN w:val="0"/>
      <w:spacing w:line="240" w:lineRule="auto"/>
      <w:jc w:val="left"/>
    </w:pPr>
    <w:rPr>
      <w:rFonts w:ascii="Courier New" w:hAnsi="Courier New" w:cs="Courier New"/>
      <w:sz w:val="20"/>
      <w:szCs w:val="20"/>
      <w:lang w:val="en-GB"/>
    </w:rPr>
  </w:style>
  <w:style w:type="character" w:customStyle="1" w:styleId="TextosinformatoCar">
    <w:name w:val="Texto sin formato Car"/>
    <w:basedOn w:val="Fuentedeprrafopredeter"/>
    <w:link w:val="Textosinformato"/>
    <w:uiPriority w:val="99"/>
    <w:rsid w:val="00350287"/>
    <w:rPr>
      <w:rFonts w:ascii="Courier New" w:eastAsia="Times New Roman" w:hAnsi="Courier New" w:cs="Courier New"/>
      <w:lang w:val="en-GB" w:eastAsia="en-US"/>
    </w:rPr>
  </w:style>
  <w:style w:type="character" w:customStyle="1" w:styleId="PrrafodelistaCar">
    <w:name w:val="Párrafo de lista Car"/>
    <w:link w:val="Prrafodelista"/>
    <w:uiPriority w:val="34"/>
    <w:locked/>
    <w:rsid w:val="00350287"/>
    <w:rPr>
      <w:rFonts w:ascii="Calibri" w:hAnsi="Calibri"/>
      <w:sz w:val="22"/>
      <w:szCs w:val="22"/>
      <w:lang w:eastAsia="en-US"/>
    </w:rPr>
  </w:style>
  <w:style w:type="table" w:styleId="Cuadrculadetablaclara">
    <w:name w:val="Grid Table Light"/>
    <w:basedOn w:val="Tablanormal"/>
    <w:uiPriority w:val="40"/>
    <w:rsid w:val="00E237BE"/>
    <w:tblPr>
      <w:tblBorders>
        <w:top w:val="single" w:sz="4" w:space="0" w:color="000000" w:themeColor="background1" w:themeShade="BF"/>
        <w:left w:val="single" w:sz="4" w:space="0" w:color="000000" w:themeColor="background1" w:themeShade="BF"/>
        <w:bottom w:val="single" w:sz="4" w:space="0" w:color="000000" w:themeColor="background1" w:themeShade="BF"/>
        <w:right w:val="single" w:sz="4" w:space="0" w:color="000000" w:themeColor="background1" w:themeShade="BF"/>
        <w:insideH w:val="single" w:sz="4" w:space="0" w:color="000000" w:themeColor="background1" w:themeShade="BF"/>
        <w:insideV w:val="single" w:sz="4" w:space="0" w:color="000000"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427044">
      <w:bodyDiv w:val="1"/>
      <w:marLeft w:val="0"/>
      <w:marRight w:val="0"/>
      <w:marTop w:val="0"/>
      <w:marBottom w:val="0"/>
      <w:divBdr>
        <w:top w:val="none" w:sz="0" w:space="0" w:color="auto"/>
        <w:left w:val="none" w:sz="0" w:space="0" w:color="auto"/>
        <w:bottom w:val="none" w:sz="0" w:space="0" w:color="auto"/>
        <w:right w:val="none" w:sz="0" w:space="0" w:color="auto"/>
      </w:divBdr>
    </w:div>
    <w:div w:id="555704127">
      <w:bodyDiv w:val="1"/>
      <w:marLeft w:val="0"/>
      <w:marRight w:val="0"/>
      <w:marTop w:val="0"/>
      <w:marBottom w:val="0"/>
      <w:divBdr>
        <w:top w:val="none" w:sz="0" w:space="0" w:color="auto"/>
        <w:left w:val="none" w:sz="0" w:space="0" w:color="auto"/>
        <w:bottom w:val="none" w:sz="0" w:space="0" w:color="auto"/>
        <w:right w:val="none" w:sz="0" w:space="0" w:color="auto"/>
      </w:divBdr>
    </w:div>
    <w:div w:id="1249466317">
      <w:bodyDiv w:val="1"/>
      <w:marLeft w:val="0"/>
      <w:marRight w:val="0"/>
      <w:marTop w:val="0"/>
      <w:marBottom w:val="0"/>
      <w:divBdr>
        <w:top w:val="none" w:sz="0" w:space="0" w:color="auto"/>
        <w:left w:val="none" w:sz="0" w:space="0" w:color="auto"/>
        <w:bottom w:val="none" w:sz="0" w:space="0" w:color="auto"/>
        <w:right w:val="none" w:sz="0" w:space="0" w:color="auto"/>
      </w:divBdr>
    </w:div>
    <w:div w:id="130458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normas/Borradores/Forms/SUGEF%20trabajo/plantilla-SGF-13.dotm" TargetMode="External"/></Relationship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yKSavnTvWxNjh9e2ZW3g8b1YH6k=</DigestValue>
    </Reference>
    <Reference Type="http://www.w3.org/2000/09/xmldsig#Object" URI="#idOfficeObject">
      <DigestMethod Algorithm="http://www.w3.org/2000/09/xmldsig#sha1"/>
      <DigestValue>qhjtdAEGm2gDLejAabJoF86DgFM=</DigestValue>
    </Reference>
    <Reference Type="http://uri.etsi.org/01903#SignedProperties" URI="#idSignedProperties">
      <Transforms>
        <Transform Algorithm="http://www.w3.org/TR/2001/REC-xml-c14n-20010315"/>
      </Transforms>
      <DigestMethod Algorithm="http://www.w3.org/2000/09/xmldsig#sha1"/>
      <DigestValue>4lyiFiPbgRtE2/mEuY5t3Uywpjw=</DigestValue>
    </Reference>
  </SignedInfo>
  <SignatureValue>oIRX8yAPuPlbt8MTquD8as+Ykc8NSTnnigqWoJ4Mg3LNsllX1qQdVrnBuWssW/h0dZHT2Limncu5
BjCpPU7PpgiuIZqPpKlhmxjVnK9RSFfgZGgaNXYZGdOxbu99A4j1Nkl/0OHBaBQgnlbSxrPJa5Dz
dTKYf17zB3mg6B8AAwjm/RCoBU3WbeLueZHCOkr3k7lzrGnO2yeEgaOIZbtjUPq9j26rsMMZEmGv
2PZ2lenjyUqDahmfYLlZgxtvDtKe1KZMT+/AY7GzNKFd/l/EMDZDYJ4mF6or8Bo0MXC8srthn7w9
UwBeO+o7T7SqvVD+2Vdg/2eHEc6eyIE2UirhbA==</SignatureValue>
  <KeyInfo>
    <X509Data>
      <X509Certificate>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0/09/xmldsig#sha1"/>
        <DigestValue>8yFhtzm0Vzaaj9rSJhq2rvc1Czg=</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sSixUOE/WoON2cEUmmFijByIlm4=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v/ex1wPaECbo6uIOzyeiBzfoKSw=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nq0JRkvCy/qAa1ApQaxdlYXgqFM=</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/ZT7lzkBKjGpbWyeQ2JFoWG14aQ=</DigestValue>
      </Reference>
      <Reference URI="/word/document.xml?ContentType=application/vnd.openxmlformats-officedocument.wordprocessingml.document.main+xml">
        <DigestMethod Algorithm="http://www.w3.org/2000/09/xmldsig#sha1"/>
        <DigestValue>+E0qgjqzRu0+3z0WtxZ5ake8SfM=</DigestValue>
      </Reference>
      <Reference URI="/word/endnotes.xml?ContentType=application/vnd.openxmlformats-officedocument.wordprocessingml.endnotes+xml">
        <DigestMethod Algorithm="http://www.w3.org/2000/09/xmldsig#sha1"/>
        <DigestValue>2O8Bar1SWmY107SgxQdbg5rqbtE=</DigestValue>
      </Reference>
      <Reference URI="/word/fontTable.xml?ContentType=application/vnd.openxmlformats-officedocument.wordprocessingml.fontTable+xml">
        <DigestMethod Algorithm="http://www.w3.org/2000/09/xmldsig#sha1"/>
        <DigestValue>Fxai0kqsob7/2ofmdwRJGOeu/KE=</DigestValue>
      </Reference>
      <Reference URI="/word/footer1.xml?ContentType=application/vnd.openxmlformats-officedocument.wordprocessingml.footer+xml">
        <DigestMethod Algorithm="http://www.w3.org/2000/09/xmldsig#sha1"/>
        <DigestValue>ZMyyMJQ87bKKvwXkii1UmkSG3/I=</DigestValue>
      </Reference>
      <Reference URI="/word/footer2.xml?ContentType=application/vnd.openxmlformats-officedocument.wordprocessingml.footer+xml">
        <DigestMethod Algorithm="http://www.w3.org/2000/09/xmldsig#sha1"/>
        <DigestValue>USVMOM1J0GwxIKQGZ+TFMaa9H/c=</DigestValue>
      </Reference>
      <Reference URI="/word/footnotes.xml?ContentType=application/vnd.openxmlformats-officedocument.wordprocessingml.footnotes+xml">
        <DigestMethod Algorithm="http://www.w3.org/2000/09/xmldsig#sha1"/>
        <DigestValue>jBA2RKhdqamzP6KnMOzmVp2C5zQ=</DigestValue>
      </Reference>
      <Reference URI="/word/header1.xml?ContentType=application/vnd.openxmlformats-officedocument.wordprocessingml.header+xml">
        <DigestMethod Algorithm="http://www.w3.org/2000/09/xmldsig#sha1"/>
        <DigestValue>CalkVLYQhewSNE8iSKQQ/xdPWIo=</DigestValue>
      </Reference>
      <Reference URI="/word/header2.xml?ContentType=application/vnd.openxmlformats-officedocument.wordprocessingml.header+xml">
        <DigestMethod Algorithm="http://www.w3.org/2000/09/xmldsig#sha1"/>
        <DigestValue>C3Aow43PkXVVV1WputtIyjmoPPc=</DigestValue>
      </Reference>
      <Reference URI="/word/media/image1.emf?ContentType=image/x-emf">
        <DigestMethod Algorithm="http://www.w3.org/2000/09/xmldsig#sha1"/>
        <DigestValue>3AFdhAkI0hVNYsce8149Px0e8mg=</DigestValue>
      </Reference>
      <Reference URI="/word/media/image2.jpg?ContentType=image/jpeg">
        <DigestMethod Algorithm="http://www.w3.org/2000/09/xmldsig#sha1"/>
        <DigestValue>WBE2fsmHVGwcKKBQxbSMrwxyzd0=</DigestValue>
      </Reference>
      <Reference URI="/word/media/image3.png?ContentType=image/png">
        <DigestMethod Algorithm="http://www.w3.org/2000/09/xmldsig#sha1"/>
        <DigestValue>xqOBhFuPeqMghHzp2yf95n6b0Eo=</DigestValue>
      </Reference>
      <Reference URI="/word/media/image4.png?ContentType=image/png">
        <DigestMethod Algorithm="http://www.w3.org/2000/09/xmldsig#sha1"/>
        <DigestValue>ugf502F9OWENCRXzhnDZtkblBVw=</DigestValue>
      </Reference>
      <Reference URI="/word/media/image5.emf?ContentType=image/x-emf">
        <DigestMethod Algorithm="http://www.w3.org/2000/09/xmldsig#sha1"/>
        <DigestValue>GoPcGkLSV4myQ+cl82LPPkibvG0=</DigestValue>
      </Reference>
      <Reference URI="/word/numbering.xml?ContentType=application/vnd.openxmlformats-officedocument.wordprocessingml.numbering+xml">
        <DigestMethod Algorithm="http://www.w3.org/2000/09/xmldsig#sha1"/>
        <DigestValue>Dwye19QxhmyEP+OIjxk5mhweWHI=</DigestValue>
      </Reference>
      <Reference URI="/word/settings.xml?ContentType=application/vnd.openxmlformats-officedocument.wordprocessingml.settings+xml">
        <DigestMethod Algorithm="http://www.w3.org/2000/09/xmldsig#sha1"/>
        <DigestValue>zFp3dQgy+o1aCXbw80YICmnxmtQ=</DigestValue>
      </Reference>
      <Reference URI="/word/styles.xml?ContentType=application/vnd.openxmlformats-officedocument.wordprocessingml.styles+xml">
        <DigestMethod Algorithm="http://www.w3.org/2000/09/xmldsig#sha1"/>
        <DigestValue>rPHp3f3gL/Em1ACzPv7Omea3pOU=</DigestValue>
      </Reference>
      <Reference URI="/word/theme/theme1.xml?ContentType=application/vnd.openxmlformats-officedocument.theme+xml">
        <DigestMethod Algorithm="http://www.w3.org/2000/09/xmldsig#sha1"/>
        <DigestValue>afn6CthWEUwqtPMX5ImY3jwVifM=</DigestValue>
      </Reference>
      <Reference URI="/word/webSettings.xml?ContentType=application/vnd.openxmlformats-officedocument.wordprocessingml.webSettings+xml">
        <DigestMethod Algorithm="http://www.w3.org/2000/09/xmldsig#sha1"/>
        <DigestValue>vqeAv4LfcCS7XEoHxnW2heUjDYM=</DigestValue>
      </Reference>
    </Manifest>
    <SignatureProperties>
      <SignatureProperty Id="idSignatureTime" Target="#idPackageSignature">
        <mdssi:SignatureTime xmlns:mdssi="http://schemas.openxmlformats.org/package/2006/digital-signature">
          <mdssi:Format>YYYY-MM-DDThh:mm:ssTZD</mdssi:Format>
          <mdssi:Value>2016-06-07T15:08:41Z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2016-06-07T15:08:41Z</xd:SigningTime>
          <xd:SigningCertificate>
            <xd:Cert>
              <xd:CertDigest>
                <DigestMethod Algorithm="http://www.w3.org/2000/09/xmldsig#sha1"/>
                <DigestValue>FogAmwWTxV84Mxlb1H+boYFlWeY=</DigestValue>
              </xd:CertDigest>
              <xd:IssuerSerial>
                <X509IssuerName>CN=CA SINPE - PERSONA FISICA, OU=DIVISION DE SERVICIOS FINANCIEROS, O=BANCO CENTRAL DE COSTA RICA, C=CR, SERIALNUMBER=4-000-004017</X509IssuerName>
                <X509SerialNumber>146909799997232940056636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</xd:EncapsulatedX509Certificate>
            <xd:EncapsulatedX509Certificate>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</xd:EncapsulatedX509Certificate>
            <xd:EncapsulatedX509Certificate>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</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Situación_x0020_actual xmlns="b875e23b-67d9-4b2e-bdec-edacbf90b326">NOTIFICADO 07/06/2016
R-1812-2016
La Resolución de los Lineamientos Generales del Acuerdo SUGEF 18-16 Reglamento sobre gestión del riesgo operativo.
No se deben enviar a las personas inscritas por artículo 15 de la Ley 8204.
Publicar en La Gaceta
Copiar a: Públicos, Privados, Financieras, Genaro Segura, Gilberto Arce, Gabriela Amador, Xinia Martínez, José Manuel Cubero</Situación_x0020_actual>
    <Dependencia xmlns="b875e23b-67d9-4b2e-bdec-edacbf90b326">
      <Value>SUGEF CA</Value>
    </Dependencia>
    <Enviado_x0020_por1 xmlns="b875e23b-67d9-4b2e-bdec-edacbf90b326">Normas</Enviado_x0020_por1>
    <KpiDescription xmlns="http://schemas.microsoft.com/sharepoint/v3">NOTIFICADO 07/06/2016
R-1812-2016
La Resolución de los Lineamientos Generales del Acuerdo SUGEF 18-16 Reglamento sobre gestión del riesgo operativo.
No se deben enviar a las personas inscritas por artículo 15 de la Ley 8204.
Publicar en La Gaceta</KpiDescription>
    <_Status xmlns="http://schemas.microsoft.com/sharepoint/v3/fields">Para tramitar</_Status>
    <Entrante_x0020_relacionado xmlns="b875e23b-67d9-4b2e-bdec-edacbf90b326">
      <Url xsi:nil="true"/>
      <Description xsi:nil="true"/>
    </Entrante_x0020_relacionado>
    <Secretaria xmlns="b875e23b-67d9-4b2e-bdec-edacbf90b326">
      <UserInfo>
        <DisplayName>Gabriela Vargas Leal</DisplayName>
        <AccountId>120</AccountId>
        <AccountType/>
      </UserInfo>
    </Secretaria>
    <Año xmlns="b875e23b-67d9-4b2e-bdec-edacbf90b326">2016</Año>
    <Entidad_x0020_Financiera xmlns="b875e23b-67d9-4b2e-bdec-edacbf90b326">A todas las entidades supervisadas</Entidad_x0020_Financiera>
    <N_x00b0_Referencia xmlns="b875e23b-67d9-4b2e-bdec-edacbf90b326">No responde a ningún número de referencia</N_x00b0_Referencia>
    <Confidencialidad xmlns="b875e23b-67d9-4b2e-bdec-edacbf90b326">SGF-CONFIDENCIAL</Confidencialidad>
    <Enviado_x0020_por xmlns="b875e23b-67d9-4b2e-bdec-edacbf90b326">i:0#.w|sugef\gsegura</Enviado_x0020_por>
    <Externo_x003f_ xmlns="b875e23b-67d9-4b2e-bdec-edacbf90b326">true</Externo_x003f_>
    <Fecha_x0020_notificación xmlns="b875e23b-67d9-4b2e-bdec-edacbf90b326">2016-06-07T06:00:00+00:00</Fecha_x0020_notificación>
    <N_x00b0_Oficio xmlns="b875e23b-67d9-4b2e-bdec-edacbf90b326">R-1812-2016</N_x00b0_Oficio>
    <Firmantes xmlns="b875e23b-67d9-4b2e-bdec-edacbf90b326">
      <UserInfo>
        <DisplayName>i:0#.w|sugef\jcascante</DisplayName>
        <AccountId>22</AccountId>
        <AccountType/>
      </UserInfo>
    </Firmantes>
    <Firma_x0020_digital_x003f_ xmlns="b875e23b-67d9-4b2e-bdec-edacbf90b326">true</Firma_x0020_digital_x003f_>
    <Firma_x0020_despacho_x003f_ xmlns="b875e23b-67d9-4b2e-bdec-edacbf90b326">true</Firma_x0020_despacho_x003f_>
    <Con_x0020_copia xmlns="b875e23b-67d9-4b2e-bdec-edacbf90b326">
      <UserInfo>
        <DisplayName>SALIENTE NORMAS</DisplayName>
        <AccountId>360</AccountId>
        <AccountType/>
      </UserInfo>
      <UserInfo>
        <DisplayName>SALIENTE DIRECTORES DE SUPERVISIÓN</DisplayName>
        <AccountId>383</AccountId>
        <AccountType/>
      </UserInfo>
    </Con_x0020_copia>
  </documentManagement>
</p:properties>
</file>

<file path=customXml/item4.xml><?xml version="1.0" encoding="utf-8"?>
<?mso-contentType ?>
<SharedContentType xmlns="Microsoft.SharePoint.Taxonomy.ContentTypeSync" SourceId="031b4bb2-0db7-40b3-a341-fc1511e9642d" ContentTypeId="0x010100693E853EF8C1A34581F50C7740010A8B" PreviousValue="false"/>
</file>

<file path=customXml/item5.xml><?xml version="1.0" encoding="utf-8"?>
<ct:contentTypeSchema xmlns:ct="http://schemas.microsoft.com/office/2006/metadata/contentType" xmlns:ma="http://schemas.microsoft.com/office/2006/metadata/properties/metaAttributes" ct:_="" ma:_="" ma:contentTypeName="SUGEF oficios" ma:contentTypeID="0x010100693E853EF8C1A34581F50C7740010A8B00665458B34368EA438EB6C6D1830E5626" ma:contentTypeVersion="175" ma:contentTypeDescription="" ma:contentTypeScope="" ma:versionID="04c9cefe9b633a7a0e34643461f94d3b">
  <xsd:schema xmlns:xsd="http://www.w3.org/2001/XMLSchema" xmlns:xs="http://www.w3.org/2001/XMLSchema" xmlns:p="http://schemas.microsoft.com/office/2006/metadata/properties" xmlns:ns1="http://schemas.microsoft.com/sharepoint/v3" xmlns:ns2="b875e23b-67d9-4b2e-bdec-edacbf90b326" xmlns:ns3="http://schemas.microsoft.com/sharepoint/v3/fields" targetNamespace="http://schemas.microsoft.com/office/2006/metadata/properties" ma:root="true" ma:fieldsID="799280a7234a1071fbd7e4692912878e" ns1:_="" ns2:_="" ns3:_="">
    <xsd:import namespace="http://schemas.microsoft.com/sharepoint/v3"/>
    <xsd:import namespace="b875e23b-67d9-4b2e-bdec-edacbf90b326"/>
    <xsd:import namespace="http://schemas.microsoft.com/sharepoint/v3/fields"/>
    <xsd:element name="properties">
      <xsd:complexType>
        <xsd:sequence>
          <xsd:element name="documentManagement">
            <xsd:complexType>
              <xsd:all>
                <xsd:element ref="ns2:N_x00b0_Oficio"/>
                <xsd:element ref="ns2:Entidad_x0020_Financiera" minOccurs="0"/>
                <xsd:element ref="ns2:Situación_x0020_actual" minOccurs="0"/>
                <xsd:element ref="ns1:KpiDescription" minOccurs="0"/>
                <xsd:element ref="ns2:Externo_x003f_" minOccurs="0"/>
                <xsd:element ref="ns3:_Status" minOccurs="0"/>
                <xsd:element ref="ns2:Firma_x0020_digital_x003f_" minOccurs="0"/>
                <xsd:element ref="ns2:Firma_x0020_despacho_x003f_" minOccurs="0"/>
                <xsd:element ref="ns2:Enviado_x0020_por1" minOccurs="0"/>
                <xsd:element ref="ns2:Firmantes" minOccurs="0"/>
                <xsd:element ref="ns2:Secretaria" minOccurs="0"/>
                <xsd:element ref="ns2:Con_x0020_copia" minOccurs="0"/>
                <xsd:element ref="ns2:Enviado_x0020_por" minOccurs="0"/>
                <xsd:element ref="ns2:Dependencia" minOccurs="0"/>
                <xsd:element ref="ns2:Entrante_x0020_relacionado" minOccurs="0"/>
                <xsd:element ref="ns2:Año" minOccurs="0"/>
                <xsd:element ref="ns2:Fecha_x0020_notificación" minOccurs="0"/>
                <xsd:element ref="ns2:N_x00b0_Referencia" minOccurs="0"/>
                <xsd:element ref="ns2:Confidencialid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4" nillable="true" ma:displayName="Descripción" ma:description="La descripción proporciona información sobre el objetivo."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N_x00b0_Oficio" ma:index="1" ma:displayName="N°Oficio" ma:default="SUGEF-" ma:internalName="N_x00B0_Oficio" ma:readOnly="false">
      <xsd:simpleType>
        <xsd:restriction base="dms:Text">
          <xsd:maxLength value="50"/>
        </xsd:restriction>
      </xsd:simpleType>
    </xsd:element>
    <xsd:element name="Entidad_x0020_Financiera" ma:index="2" nillable="true" ma:displayName="Entidad Financiera" ma:format="Dropdown" ma:internalName="Entidad_x0020_Financiera">
      <xsd:simpleType>
        <xsd:union memberTypes="dms:Text">
          <xsd:simpleType>
            <xsd:restriction base="dms:Choice">
              <xsd:enumeration value="Seleccione una opción"/>
              <xsd:enumeration value="AI-CONASSIF"/>
              <xsd:enumeration value="ASAMBLEA LEGISLATIVA"/>
              <xsd:enumeration value="ASBA"/>
              <xsd:enumeration value="BACSANJOSE"/>
              <xsd:enumeration value="BANCA PARA EL DESARROLLO"/>
              <xsd:enumeration value="BANCO CMB"/>
              <xsd:enumeration value="BANCREDITO"/>
              <xsd:enumeration value="BANGENCR"/>
              <xsd:enumeration value="BANHVI"/>
              <xsd:enumeration value="BCCR"/>
              <xsd:enumeration value="BCR"/>
              <xsd:enumeration value="BCT"/>
              <xsd:enumeration value="BID"/>
              <xsd:enumeration value="BNCR"/>
              <xsd:enumeration value="CAC-ALIANZA"/>
              <xsd:enumeration value="CAC-AMISTAD"/>
              <xsd:enumeration value="CAC-ANDE1"/>
              <xsd:enumeration value="CAC-AYA"/>
              <xsd:enumeration value="CAC-CAJA"/>
              <xsd:enumeration value="CAC-COOCIQUE"/>
              <xsd:enumeration value="CAC-COOPAVEGRA"/>
              <xsd:enumeration value="CAC-COOPECAR"/>
              <xsd:enumeration value="CAC-COOPECO"/>
              <xsd:enumeration value="CAC-COOPEFYL"/>
              <xsd:enumeration value="CAC-COOPELECHEROS"/>
              <xsd:enumeration value="CAC-COOPENAE"/>
              <xsd:enumeration value="CAC-CREDE"/>
              <xsd:enumeration value="CAC-ESPARTA"/>
              <xsd:enumeration value="CAC-GRECIA"/>
              <xsd:enumeration value="CAC-JUDICIAL"/>
              <xsd:enumeration value="CAC-MAPRO"/>
              <xsd:enumeration value="CAC-MEDICOS"/>
              <xsd:enumeration value="CAC-MEP"/>
              <xsd:enumeration value="CAC-POPULAR"/>
              <xsd:enumeration value="CAC-SANMARCOS"/>
              <xsd:enumeration value="CAC-SANRAMON"/>
              <xsd:enumeration value="CAC-SERVICOOP"/>
              <xsd:enumeration value="CAC-SERVIDORES"/>
              <xsd:enumeration value="CAC-UNA"/>
              <xsd:enumeration value="CATHAY"/>
              <xsd:enumeration value="CC-GLOBALEX"/>
              <xsd:enumeration value="CCSBSO"/>
              <xsd:enumeration value="CC-TELEDOLAR"/>
              <xsd:enumeration value="CGR"/>
              <xsd:enumeration value="CITIBANK"/>
              <xsd:enumeration value="CONASSIF"/>
              <xsd:enumeration value="CORPORACIÓN BCT"/>
              <xsd:enumeration value="CORPORACIÓN  CAFSA"/>
              <xsd:enumeration value="CORPORACIÓN DAVIVIENDA (COSTA RICA)"/>
              <xsd:enumeration value="CORPORACIÓN LAFISE CONTROLADORA"/>
              <xsd:enumeration value="CORPORACIÓN TENEDORA BAC CREDOMATIC"/>
              <xsd:enumeration value="DAVIVIENDA"/>
              <xsd:enumeration value="DEFENSORÍA DE LOS HABITANTES"/>
              <xsd:enumeration value="F-CAFSA"/>
              <xsd:enumeration value="F-COMECA"/>
              <xsd:enumeration value="F-DESYFIN"/>
              <xsd:enumeration value="F-GYT CONTINENTAL"/>
              <xsd:enumeration value="GRUPO BNS DE COSTA RICA"/>
              <xsd:enumeration value="GRUPO DE FINANZAS CATHAY"/>
              <xsd:enumeration value="GRUPO FINANCIERO CITIBANK DE COSTA RICA"/>
              <xsd:enumeration value="GRUPO FINANCIERO IMPROSA"/>
              <xsd:enumeration value="ICD"/>
              <xsd:enumeration value="IMPROSA"/>
              <xsd:enumeration value="INS"/>
              <xsd:enumeration value="LAFISE"/>
              <xsd:enumeration value="LATINEX"/>
              <xsd:enumeration value="M-ALAJUELA"/>
              <xsd:enumeration value="M-CARTAGO"/>
              <xsd:enumeration value="MEIC"/>
              <xsd:enumeration value="MINISTERIO DE HACIENDA"/>
              <xsd:enumeration value="MINISTERIO PÚBLICO"/>
              <xsd:enumeration value="PIPCA"/>
              <xsd:enumeration value="PODER JUDICIAL"/>
              <xsd:enumeration value="POPULAR"/>
              <xsd:enumeration value="PRIVAL BANK"/>
              <xsd:enumeration value="PROMERICA"/>
              <xsd:enumeration value="REGISTRO NACIONAL"/>
              <xsd:enumeration value="SCOTIABANK"/>
              <xsd:enumeration value="SE-CAJANDE"/>
              <xsd:enumeration value="SUGESE"/>
              <xsd:enumeration value="SUGEVAL"/>
              <xsd:enumeration value="SUPEN"/>
              <xsd:enumeration value="THE BANK OF NOVA SCOTIA (COSTA RICA)"/>
            </xsd:restriction>
          </xsd:simpleType>
        </xsd:union>
      </xsd:simpleType>
    </xsd:element>
    <xsd:element name="Situación_x0020_actual" ma:index="3" nillable="true" ma:displayName="Observaciones" ma:description="" ma:internalName="Situaci_x00f3_n_x0020_actual">
      <xsd:simpleType>
        <xsd:restriction base="dms:Note"/>
      </xsd:simpleType>
    </xsd:element>
    <xsd:element name="Externo_x003f_" ma:index="5" nillable="true" ma:displayName="Externo?" ma:default="1" ma:description="Externo/Interno" ma:internalName="Externo_x003F_">
      <xsd:simpleType>
        <xsd:restriction base="dms:Boolean"/>
      </xsd:simpleType>
    </xsd:element>
    <xsd:element name="Firma_x0020_digital_x003f_" ma:index="7" nillable="true" ma:displayName="Firma digital?" ma:default="0" ma:internalName="Firma_x0020_digital_x003F_">
      <xsd:simpleType>
        <xsd:restriction base="dms:Boolean"/>
      </xsd:simpleType>
    </xsd:element>
    <xsd:element name="Firma_x0020_despacho_x003f_" ma:index="8" nillable="true" ma:displayName="Firma despacho?" ma:default="0" ma:internalName="Firma_x0020_despacho_x003F_">
      <xsd:simpleType>
        <xsd:restriction base="dms:Boolean"/>
      </xsd:simpleType>
    </xsd:element>
    <xsd:element name="Enviado_x0020_por1" ma:index="9" nillable="true" ma:displayName="Remisor" ma:default="Seleccione una opción" ma:format="Dropdown" ma:internalName="Enviado_x0020_por1">
      <xsd:simpleType>
        <xsd:restriction base="dms:Choice">
          <xsd:enumeration value="Aseguramiento de la Calidad"/>
          <xsd:enumeration value="Asesoría Jurídica"/>
          <xsd:enumeration value="Bancos Públicos"/>
          <xsd:enumeration value="Bancos Privados"/>
          <xsd:enumeration value="Capacitación y Organismos Internacionales"/>
          <xsd:enumeration value="Coordinación Administrativa"/>
          <xsd:enumeration value="Despacho"/>
          <xsd:enumeration value="Empresas Financieras"/>
          <xsd:enumeration value="Informática"/>
          <xsd:enumeration value="Ley 8204"/>
          <xsd:enumeration value="Normas"/>
          <xsd:enumeration value="Riesgo Global"/>
          <xsd:enumeration value="Servicios Técnicos"/>
          <xsd:enumeration value="Seleccione una opción"/>
        </xsd:restriction>
      </xsd:simpleType>
    </xsd:element>
    <xsd:element name="Firmantes" ma:index="10" nillable="true" ma:displayName="Firmantes" ma:description="CAMPO REQUERIDO" ma:list="UserInfo" ma:SharePointGroup="0" ma:internalName="Firmante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retaria" ma:index="11" nillable="true" ma:displayName="Secretaria" ma:list="UserInfo" ma:SharePointGroup="0" ma:internalName="Secretaria"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_x0020_copia" ma:index="12" nillable="true" ma:displayName="Con copia" ma:list="UserInfo" ma:SearchPeopleOnly="false" ma:SharePointGroup="0" ma:internalName="Con_x0020_copi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nviado_x0020_por" ma:index="13" nillable="true" ma:displayName="EnviadoPor" ma:internalName="Enviado_x0020_por">
      <xsd:simpleType>
        <xsd:restriction base="dms:Text">
          <xsd:maxLength value="255"/>
        </xsd:restriction>
      </xsd:simpleType>
    </xsd:element>
    <xsd:element name="Dependencia" ma:index="14" nillable="true" ma:displayName="Dependencia" ma:internalName="Dependencia" ma:readOnly="false">
      <xsd:complexType>
        <xsd:complexContent>
          <xsd:extension base="dms:MultiChoice">
            <xsd:sequence>
              <xsd:element name="Value" maxOccurs="unbounded" minOccurs="0" nillable="true">
                <xsd:simpleType>
                  <xsd:restriction base="dms:Choice">
                    <xsd:enumeration value="SUGEF AC"/>
                    <xsd:enumeration value="SUGEF ACL8204"/>
                    <xsd:enumeration value="SUGEF CA"/>
                    <xsd:enumeration value="SUGEF CyOI"/>
                    <xsd:enumeration value="SUGEF RG"/>
                    <xsd:enumeration value="SUGEF DBPGF"/>
                    <xsd:enumeration value="SUGEF DBPM"/>
                    <xsd:enumeration value="SUGEF DAJ"/>
                    <xsd:enumeration value="SUGEF Despacho"/>
                    <xsd:enumeration value="SUGEF Borradores Despacho"/>
                    <xsd:enumeration value="SUGEF DI"/>
                    <xsd:enumeration value="SUGEF DEFC"/>
                    <xsd:enumeration value="SUGEF DST"/>
                    <xsd:enumeration value="SUGEF Normas"/>
                    <xsd:enumeration value="Presidencia"/>
                    <xsd:enumeration value="Gerencia"/>
                    <xsd:enumeration value="Subgerencia"/>
                    <xsd:enumeration value="DAD Buzon"/>
                    <xsd:enumeration value="DFC Buzón"/>
                    <xsd:enumeration value="DSF Buzon"/>
                    <xsd:enumeration value="DEC Buzon"/>
                    <xsd:enumeration value="DAP Buzon"/>
                    <xsd:enumeration value="DGD Buzon"/>
                    <xsd:enumeration value="DST Buzon"/>
                    <xsd:enumeration value="DSG Despacho"/>
                    <xsd:enumeration value="DAJ Despacho"/>
                    <xsd:enumeration value="AUDITORIA INTERNA"/>
                    <xsd:enumeration value="AUDITORIA INTERNA CONASSIF"/>
                    <xsd:enumeration value="CONASSIF"/>
                    <xsd:enumeration value="APROBACEN"/>
                    <xsd:enumeration value="ASOBACEN"/>
                    <xsd:enumeration value="COOPEBACEN"/>
                    <xsd:enumeration value="Sindicato"/>
                  </xsd:restriction>
                </xsd:simpleType>
              </xsd:element>
            </xsd:sequence>
          </xsd:extension>
        </xsd:complexContent>
      </xsd:complexType>
    </xsd:element>
    <xsd:element name="Entrante_x0020_relacionado" ma:index="1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Año" ma:index="16" nillable="true" ma:displayName="Año" ma:default="2016"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Fecha_x0020_notificación" ma:index="24" nillable="true" ma:displayName="Fecha de Notificación" ma:description="Fecha de notificación del oficio" ma:format="DateOnly" ma:internalName="Fecha_x0020_notificaci_x00f3_n">
      <xsd:simpleType>
        <xsd:restriction base="dms:DateTime"/>
      </xsd:simpleType>
    </xsd:element>
    <xsd:element name="N_x00b0_Referencia" ma:index="26" nillable="true" ma:displayName="N°Referencia" ma:indexed="true" ma:internalName="N_x00B0_Referencia">
      <xsd:simpleType>
        <xsd:restriction base="dms:Text">
          <xsd:maxLength value="255"/>
        </xsd:restriction>
      </xsd:simpleType>
    </xsd:element>
    <xsd:element name="Confidencialidad" ma:index="28" nillable="true" ma:displayName="Confidencialidad" ma:format="RadioButtons" ma:internalName="Confidencialidad">
      <xsd:simpleType>
        <xsd:restriction base="dms:Choice">
          <xsd:enumeration value="SGF-PUBLICO"/>
          <xsd:enumeration value="SGF-INTERNO"/>
          <xsd:enumeration value="SGF-PROPIETARIO"/>
          <xsd:enumeration value="SGF-CONFIDENCIAL"/>
          <xsd:enumeration value="SGF-MAXIMA"/>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6" nillable="true" ma:displayName="Estado" ma:default="Para tramitar" ma:format="Dropdown" ma:internalName="_Status">
      <xsd:simpleType>
        <xsd:restriction base="dms:Choice">
          <xsd:enumeration value="Firmado"/>
          <xsd:enumeration value="Notificado"/>
          <xsd:enumeration value="Pendiente"/>
          <xsd:enumeration value="Para tramitar"/>
          <xsd:enumeration value="Reasignado"/>
          <xsd:enumeration value="Rechazado"/>
          <xsd:enumeration value="Tramitad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Estado"/>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BF7237-7071-47B9-A7EF-78F803F2012F}"/>
</file>

<file path=customXml/itemProps2.xml><?xml version="1.0" encoding="utf-8"?>
<ds:datastoreItem xmlns:ds="http://schemas.openxmlformats.org/officeDocument/2006/customXml" ds:itemID="{997E9AB9-3D0B-40F9-BC1B-DDE7D5960D0E}"/>
</file>

<file path=customXml/itemProps3.xml><?xml version="1.0" encoding="utf-8"?>
<ds:datastoreItem xmlns:ds="http://schemas.openxmlformats.org/officeDocument/2006/customXml" ds:itemID="{283BF82E-1A70-4392-8CF2-7DEAFF1953AE}"/>
</file>

<file path=customXml/itemProps4.xml><?xml version="1.0" encoding="utf-8"?>
<ds:datastoreItem xmlns:ds="http://schemas.openxmlformats.org/officeDocument/2006/customXml" ds:itemID="{0B71F209-0354-407D-BAF3-E77EEA647C42}"/>
</file>

<file path=customXml/itemProps5.xml><?xml version="1.0" encoding="utf-8"?>
<ds:datastoreItem xmlns:ds="http://schemas.openxmlformats.org/officeDocument/2006/customXml" ds:itemID="{76799850-BA7F-4DC7-B706-90B76091DF6F}"/>
</file>

<file path=docProps/app.xml><?xml version="1.0" encoding="utf-8"?>
<Properties xmlns="http://schemas.openxmlformats.org/officeDocument/2006/extended-properties" xmlns:vt="http://schemas.openxmlformats.org/officeDocument/2006/docPropsVTypes">
  <Template>plantilla-SGF-13</Template>
  <TotalTime>45</TotalTime>
  <Pages>14</Pages>
  <Words>3930</Words>
  <Characters>21617</Characters>
  <Application>Microsoft Office Word</Application>
  <DocSecurity>0</DocSecurity>
  <Lines>180</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25497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Xinia Martinez Rodríguez</dc:creator>
  <cp:keywords/>
  <dc:description/>
  <cp:lastModifiedBy>Genaro Alonso Segura Calderón</cp:lastModifiedBy>
  <cp:revision>23</cp:revision>
  <cp:lastPrinted>2015-07-30T22:36:00Z</cp:lastPrinted>
  <dcterms:created xsi:type="dcterms:W3CDTF">2016-06-01T15:36:00Z</dcterms:created>
  <dcterms:modified xsi:type="dcterms:W3CDTF">2016-06-06T20:51:00Z</dcterms:modified>
  <cp:category/>
  <cp:contentStatus>Notificado</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0x010100693E853EF8C1A34581F50C7740010A8B00665458B34368EA438EB6C6D1830E5626</vt:lpwstr>
  </property>
  <property fmtid="{D5CDD505-2E9C-101B-9397-08002B2CF9AE}" pid="3" name="Copiado a">
    <vt:lpwstr/>
  </property>
  <property fmtid="{D5CDD505-2E9C-101B-9397-08002B2CF9AE}" pid="4" name="Trámite">
    <vt:lpwstr>Correspondencia saliente</vt:lpwstr>
  </property>
  <property fmtid="{D5CDD505-2E9C-101B-9397-08002B2CF9AE}" pid="5" name="%Avance">
    <vt:r8>1</vt:r8>
  </property>
  <property fmtid="{D5CDD505-2E9C-101B-9397-08002B2CF9AE}" pid="6" name="Externo?">
    <vt:bool>true</vt:bool>
  </property>
  <property fmtid="{D5CDD505-2E9C-101B-9397-08002B2CF9AE}" pid="7" name="Con copia">
    <vt:lpwstr/>
  </property>
  <property fmtid="{D5CDD505-2E9C-101B-9397-08002B2CF9AE}" pid="8" name="Días seguimiento">
    <vt:lpwstr/>
  </property>
  <property fmtid="{D5CDD505-2E9C-101B-9397-08002B2CF9AE}" pid="9" name="Tipo de envío">
    <vt:lpwstr/>
  </property>
  <property fmtid="{D5CDD505-2E9C-101B-9397-08002B2CF9AE}" pid="10" name="Fecha Notificado">
    <vt:lpwstr/>
  </property>
  <property fmtid="{D5CDD505-2E9C-101B-9397-08002B2CF9AE}" pid="11" name="N°Oficio">
    <vt:lpwstr>R-XXXX-2016</vt:lpwstr>
  </property>
  <property fmtid="{D5CDD505-2E9C-101B-9397-08002B2CF9AE}" pid="12" name="Firmantes">
    <vt:lpwstr/>
  </property>
  <property fmtid="{D5CDD505-2E9C-101B-9397-08002B2CF9AE}" pid="13" name="Seguimiento?">
    <vt:lpwstr>false</vt:lpwstr>
  </property>
</Properties>
</file>