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1.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24E05" w:rsidR="00AE11D1" w:rsidP="00AE11D1" w:rsidRDefault="00AE11D1" w14:paraId="19F7D80A" w14:textId="77777777">
      <w:pPr>
        <w:pStyle w:val="Texto"/>
        <w:spacing w:before="0" w:after="0" w:line="240" w:lineRule="auto"/>
        <w:jc w:val="center"/>
        <w:rPr>
          <w:b/>
          <w:sz w:val="24"/>
          <w:lang w:val="es-CR"/>
        </w:rPr>
      </w:pPr>
      <w:r w:rsidRPr="00F24E05">
        <w:rPr>
          <w:b/>
          <w:sz w:val="24"/>
          <w:lang w:val="es-CR"/>
        </w:rPr>
        <w:t>CIRCULAR EXTERNA</w:t>
      </w:r>
    </w:p>
    <w:sdt>
      <w:sdtPr>
        <w:rPr>
          <w:sz w:val="24"/>
        </w:rPr>
        <w:alias w:val="Consecutivo"/>
        <w:tag w:val="Consecutivo"/>
        <w:id w:val="2052717023"/>
        <w:placeholder>
          <w:docPart w:val="56AACADA64B1453A98CA742D7A08571D"/>
        </w:placeholder>
        <w:text/>
      </w:sdtPr>
      <w:sdtEndPr/>
      <w:sdtContent>
        <w:p w:rsidRPr="00F24E05" w:rsidR="006972C9" w:rsidP="00AE11D1" w:rsidRDefault="006972C9" w14:paraId="5CA828B5" w14:textId="77777777">
          <w:pPr>
            <w:tabs>
              <w:tab w:val="left" w:pos="2843"/>
            </w:tabs>
            <w:spacing w:line="240" w:lineRule="auto"/>
            <w:jc w:val="center"/>
            <w:rPr>
              <w:sz w:val="24"/>
            </w:rPr>
          </w:pPr>
          <w:r>
            <w:t>SGF-1721-2021</w:t>
          </w:r>
        </w:p>
      </w:sdtContent>
    </w:sdt>
    <w:p w:rsidRPr="00F24E05" w:rsidR="006972C9" w:rsidP="00AE11D1" w:rsidRDefault="00F24E05" w14:paraId="2819D445" w14:textId="4C8A9E62">
      <w:pPr>
        <w:tabs>
          <w:tab w:val="left" w:pos="2843"/>
        </w:tabs>
        <w:spacing w:line="240" w:lineRule="auto"/>
        <w:jc w:val="center"/>
        <w:rPr>
          <w:sz w:val="24"/>
        </w:rPr>
      </w:pPr>
      <w:sdt>
        <w:sdtPr>
          <w:rPr>
            <w:sz w:val="24"/>
          </w:rPr>
          <w:alias w:val="Confidencialidad"/>
          <w:tag w:val="Confidencialidad"/>
          <w:id w:val="1447896894"/>
          <w:placeholder>
            <w:docPart w:val="71E35AE9EFF34DA089CB230230934E86"/>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F24E05" w:rsidR="00AE11D1">
            <w:rPr>
              <w:sz w:val="24"/>
            </w:rPr>
            <w:t>SGF-PUBLICO</w:t>
          </w:r>
        </w:sdtContent>
      </w:sdt>
    </w:p>
    <w:p w:rsidRPr="00F24E05" w:rsidR="00AE11D1" w:rsidP="00AE11D1" w:rsidRDefault="00BD608A" w14:paraId="6B01C001" w14:textId="3721EA04">
      <w:pPr>
        <w:pStyle w:val="Texto"/>
        <w:spacing w:before="0" w:after="0" w:line="240" w:lineRule="auto"/>
        <w:jc w:val="center"/>
        <w:rPr>
          <w:sz w:val="24"/>
        </w:rPr>
      </w:pPr>
      <w:r w:rsidRPr="00F24E05">
        <w:rPr>
          <w:sz w:val="24"/>
        </w:rPr>
        <w:t>2</w:t>
      </w:r>
      <w:r w:rsidRPr="00F24E05" w:rsidR="00F24E05">
        <w:rPr>
          <w:sz w:val="24"/>
        </w:rPr>
        <w:t>3</w:t>
      </w:r>
      <w:r w:rsidRPr="00F24E05" w:rsidR="00AE11D1">
        <w:rPr>
          <w:sz w:val="24"/>
        </w:rPr>
        <w:t xml:space="preserve"> de junio de 2021</w:t>
      </w:r>
    </w:p>
    <w:p w:rsidRPr="00F24E05" w:rsidR="00AE11D1" w:rsidP="00E87F33" w:rsidRDefault="00AE11D1" w14:paraId="51C8D0EC" w14:textId="77777777">
      <w:pPr>
        <w:widowControl w:val="0"/>
        <w:spacing w:line="240" w:lineRule="auto"/>
        <w:ind w:left="34" w:right="86"/>
        <w:rPr>
          <w:b/>
          <w:sz w:val="24"/>
          <w:lang w:val="es-CR"/>
        </w:rPr>
      </w:pPr>
    </w:p>
    <w:p w:rsidRPr="00F24E05" w:rsidR="00E87F33" w:rsidP="00E87F33" w:rsidRDefault="00E87F33" w14:paraId="188CB64A" w14:textId="7F8CA5FD">
      <w:pPr>
        <w:widowControl w:val="0"/>
        <w:spacing w:line="240" w:lineRule="auto"/>
        <w:ind w:left="34" w:right="86"/>
        <w:rPr>
          <w:b/>
          <w:sz w:val="24"/>
          <w:lang w:val="es-CR"/>
        </w:rPr>
      </w:pPr>
      <w:r w:rsidRPr="00F24E05">
        <w:rPr>
          <w:b/>
          <w:sz w:val="24"/>
          <w:lang w:val="es-CR"/>
        </w:rPr>
        <w:t>Dirigida a:</w:t>
      </w:r>
    </w:p>
    <w:p w:rsidRPr="00F24E05" w:rsidR="00E87F33" w:rsidP="00E87F33" w:rsidRDefault="00E87F33" w14:paraId="6939ED4D" w14:textId="77777777">
      <w:pPr>
        <w:pStyle w:val="NormalWeb"/>
        <w:spacing w:before="0" w:beforeAutospacing="0" w:after="0" w:afterAutospacing="0"/>
        <w:jc w:val="both"/>
        <w:rPr>
          <w:rFonts w:ascii="Cambria" w:hAnsi="Cambria"/>
          <w:b/>
          <w:sz w:val="24"/>
          <w:szCs w:val="24"/>
          <w:lang w:val="es-CR"/>
        </w:rPr>
      </w:pPr>
    </w:p>
    <w:p w:rsidRPr="00F24E05" w:rsidR="00E87F33" w:rsidP="00E87F33" w:rsidRDefault="00E87F33" w14:paraId="6E519A8E"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Bancos comerciales del Estado.</w:t>
      </w:r>
    </w:p>
    <w:p w:rsidRPr="00F24E05" w:rsidR="00E87F33" w:rsidP="00E87F33" w:rsidRDefault="00E87F33" w14:paraId="4BA335E4"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Bancos Creados por leyes especiales.</w:t>
      </w:r>
    </w:p>
    <w:p w:rsidRPr="00F24E05" w:rsidR="00E87F33" w:rsidP="00E87F33" w:rsidRDefault="00E87F33" w14:paraId="4F5752DB"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Bancos Privados.</w:t>
      </w:r>
    </w:p>
    <w:p w:rsidRPr="00F24E05" w:rsidR="00E87F33" w:rsidP="00E87F33" w:rsidRDefault="00E87F33" w14:paraId="64126C08"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Empresas Financieras no bancarias.</w:t>
      </w:r>
    </w:p>
    <w:p w:rsidRPr="00F24E05" w:rsidR="00E87F33" w:rsidP="00E87F33" w:rsidRDefault="00E87F33" w14:paraId="31C74BE5"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Otras entidades financieras.</w:t>
      </w:r>
    </w:p>
    <w:p w:rsidRPr="00F24E05" w:rsidR="00E87F33" w:rsidP="00E87F33" w:rsidRDefault="00E87F33" w14:paraId="45B753A0"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Organizaciones cooperativas de ahorro y crédito.</w:t>
      </w:r>
    </w:p>
    <w:p w:rsidRPr="00F24E05" w:rsidR="00E87F33" w:rsidP="00E87F33" w:rsidRDefault="00E87F33" w14:paraId="25100D40"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Entidades autorizadas del Sistema Financiero Nacional para la vivienda.</w:t>
      </w:r>
    </w:p>
    <w:p w:rsidRPr="00F24E05" w:rsidR="00E87F33" w:rsidP="00E87F33" w:rsidRDefault="00E87F33" w14:paraId="73D907D8"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Operadores Financieros del SBD.</w:t>
      </w:r>
    </w:p>
    <w:p w:rsidRPr="00F24E05" w:rsidR="00E87F33" w:rsidP="00E87F33" w:rsidRDefault="00E87F33" w14:paraId="680EE121" w14:textId="77777777">
      <w:pPr>
        <w:widowControl w:val="0"/>
        <w:numPr>
          <w:ilvl w:val="0"/>
          <w:numId w:val="3"/>
        </w:numPr>
        <w:spacing w:after="200" w:line="240" w:lineRule="auto"/>
        <w:ind w:left="567" w:right="86" w:hanging="567"/>
        <w:contextualSpacing/>
        <w:rPr>
          <w:b/>
          <w:sz w:val="24"/>
          <w:lang w:val="es-CR" w:eastAsia="es-ES"/>
        </w:rPr>
      </w:pPr>
      <w:r w:rsidRPr="00F24E05">
        <w:rPr>
          <w:bCs/>
          <w:sz w:val="24"/>
          <w:lang w:val="es-CR" w:eastAsia="es-ES"/>
        </w:rPr>
        <w:t xml:space="preserve">Sujetos </w:t>
      </w:r>
      <w:r w:rsidRPr="00F24E05">
        <w:rPr>
          <w:sz w:val="24"/>
          <w:lang w:val="es-CR"/>
        </w:rPr>
        <w:t>obligados por Artículo 15 y 15 Bis de la Ley sobre estupefacientes, sustancias psicotrópicas, drogas de uso No Autorizado, actividades conexas, legitimación de capitales y financiamiento al terrorismo, N°7786.</w:t>
      </w:r>
    </w:p>
    <w:p w:rsidRPr="00F24E05" w:rsidR="00E87F33" w:rsidP="00E87F33" w:rsidRDefault="00E87F33" w14:paraId="1DDF8BFA" w14:textId="77777777">
      <w:pPr>
        <w:widowControl w:val="0"/>
        <w:numPr>
          <w:ilvl w:val="0"/>
          <w:numId w:val="3"/>
        </w:numPr>
        <w:spacing w:after="200" w:line="240" w:lineRule="auto"/>
        <w:ind w:left="567" w:right="86" w:hanging="567"/>
        <w:contextualSpacing/>
        <w:rPr>
          <w:b/>
          <w:sz w:val="24"/>
          <w:lang w:val="es-CR" w:eastAsia="es-ES"/>
        </w:rPr>
      </w:pPr>
      <w:r w:rsidRPr="00F24E05">
        <w:rPr>
          <w:sz w:val="24"/>
          <w:lang w:val="es-CR"/>
        </w:rPr>
        <w:t xml:space="preserve">Oferentes de crédito de conformidad con lo que establece la Ley </w:t>
      </w:r>
      <w:proofErr w:type="spellStart"/>
      <w:r w:rsidRPr="00F24E05">
        <w:rPr>
          <w:sz w:val="24"/>
          <w:lang w:val="es-CR"/>
        </w:rPr>
        <w:t>N.°</w:t>
      </w:r>
      <w:proofErr w:type="spellEnd"/>
      <w:r w:rsidRPr="00F24E05">
        <w:rPr>
          <w:sz w:val="24"/>
          <w:lang w:val="es-CR"/>
        </w:rPr>
        <w:t xml:space="preserve"> 9859</w:t>
      </w:r>
    </w:p>
    <w:p w:rsidRPr="00F24E05" w:rsidR="00E87F33" w:rsidP="00E87F33" w:rsidRDefault="00E87F33" w14:paraId="2409B942" w14:textId="77777777">
      <w:pPr>
        <w:spacing w:line="240" w:lineRule="auto"/>
        <w:rPr>
          <w:sz w:val="24"/>
          <w:lang w:val="es-CR"/>
        </w:rPr>
      </w:pPr>
    </w:p>
    <w:p w:rsidRPr="00F24E05" w:rsidR="00E87F33" w:rsidP="00E87F33" w:rsidRDefault="00E87F33" w14:paraId="2414DEBD" w14:textId="30AA9B35">
      <w:pPr>
        <w:spacing w:line="240" w:lineRule="auto"/>
        <w:ind w:left="993" w:hanging="993"/>
        <w:rPr>
          <w:bCs/>
          <w:sz w:val="24"/>
          <w:lang w:val="es-CR"/>
        </w:rPr>
      </w:pPr>
      <w:r w:rsidRPr="00F24E05">
        <w:rPr>
          <w:b/>
          <w:bCs/>
          <w:sz w:val="24"/>
          <w:lang w:val="es-CR"/>
        </w:rPr>
        <w:t>Asunto</w:t>
      </w:r>
      <w:r w:rsidRPr="00F24E05">
        <w:rPr>
          <w:bCs/>
          <w:sz w:val="24"/>
          <w:lang w:val="es-CR"/>
        </w:rPr>
        <w:t>:</w:t>
      </w:r>
      <w:r w:rsidRPr="00F24E05">
        <w:rPr>
          <w:bCs/>
          <w:sz w:val="24"/>
          <w:lang w:val="es-CR"/>
        </w:rPr>
        <w:tab/>
      </w:r>
      <w:r w:rsidRPr="00F24E05" w:rsidR="0099047A">
        <w:rPr>
          <w:bCs/>
          <w:sz w:val="24"/>
          <w:lang w:val="es-CR"/>
        </w:rPr>
        <w:t xml:space="preserve">Debida diligencia en el trámite de </w:t>
      </w:r>
      <w:r w:rsidRPr="00F24E05">
        <w:rPr>
          <w:bCs/>
          <w:sz w:val="24"/>
          <w:lang w:val="es-CR"/>
        </w:rPr>
        <w:t xml:space="preserve">autorizaciones </w:t>
      </w:r>
      <w:r w:rsidRPr="00F24E05" w:rsidR="0099047A">
        <w:rPr>
          <w:bCs/>
          <w:sz w:val="24"/>
          <w:lang w:val="es-CR"/>
        </w:rPr>
        <w:t xml:space="preserve">para consulta en el </w:t>
      </w:r>
      <w:r w:rsidRPr="00F24E05">
        <w:rPr>
          <w:bCs/>
          <w:sz w:val="24"/>
          <w:lang w:val="es-CR"/>
        </w:rPr>
        <w:t xml:space="preserve">CIC de conformidad con lo dispuesto en el Acuerdo SUGEF 7-06 “Reglamento de Centro de Información Crediticia, en el Manual del Centro de Información Crediticia (CIC) y en </w:t>
      </w:r>
      <w:r w:rsidRPr="00F24E05" w:rsidR="0099047A">
        <w:rPr>
          <w:bCs/>
          <w:sz w:val="24"/>
          <w:lang w:val="es-CR"/>
        </w:rPr>
        <w:t xml:space="preserve">el Centro de Información Crediticia para Oferentes de Crédito (CICOC) según </w:t>
      </w:r>
      <w:r w:rsidRPr="00F24E05">
        <w:rPr>
          <w:bCs/>
          <w:sz w:val="24"/>
          <w:lang w:val="es-CR"/>
        </w:rPr>
        <w:t xml:space="preserve">las Circulares Externas </w:t>
      </w:r>
      <w:r w:rsidRPr="00F24E05">
        <w:rPr>
          <w:rFonts w:cs="Arial"/>
          <w:sz w:val="24"/>
          <w:lang w:val="es-CR" w:eastAsia="es-ES"/>
        </w:rPr>
        <w:t xml:space="preserve">SGF 2712-2020, </w:t>
      </w:r>
      <w:r w:rsidRPr="00F24E05">
        <w:rPr>
          <w:bCs/>
          <w:sz w:val="24"/>
          <w:lang w:val="es-CR"/>
        </w:rPr>
        <w:t>SGF-4101-2020.</w:t>
      </w:r>
    </w:p>
    <w:p w:rsidRPr="00F24E05" w:rsidR="00E87F33" w:rsidP="00E87F33" w:rsidRDefault="00E87F33" w14:paraId="4FB1B042" w14:textId="77777777">
      <w:pPr>
        <w:spacing w:line="240" w:lineRule="auto"/>
        <w:ind w:left="993" w:hanging="993"/>
        <w:rPr>
          <w:bCs/>
          <w:sz w:val="24"/>
          <w:lang w:val="es-CR"/>
        </w:rPr>
      </w:pPr>
    </w:p>
    <w:p w:rsidRPr="00F24E05" w:rsidR="00E87F33" w:rsidP="00E87F33" w:rsidRDefault="00E87F33" w14:paraId="6EC3A545" w14:textId="77777777">
      <w:pPr>
        <w:spacing w:line="240" w:lineRule="auto"/>
        <w:rPr>
          <w:b/>
          <w:sz w:val="24"/>
          <w:lang w:val="es-CR"/>
        </w:rPr>
      </w:pPr>
      <w:r w:rsidRPr="00F24E05">
        <w:rPr>
          <w:b/>
          <w:sz w:val="24"/>
          <w:lang w:val="es-CR"/>
        </w:rPr>
        <w:t>Considerando que:</w:t>
      </w:r>
    </w:p>
    <w:p w:rsidRPr="00F24E05" w:rsidR="00E87F33" w:rsidP="00E87F33" w:rsidRDefault="00E87F33" w14:paraId="62A84B57" w14:textId="77777777">
      <w:pPr>
        <w:spacing w:line="240" w:lineRule="auto"/>
        <w:rPr>
          <w:b/>
          <w:sz w:val="24"/>
          <w:lang w:val="es-CR"/>
        </w:rPr>
      </w:pPr>
    </w:p>
    <w:p w:rsidRPr="00F24E05" w:rsidR="0099047A" w:rsidP="0099047A" w:rsidRDefault="0099047A" w14:paraId="23BDBDB1" w14:textId="70C7BD03">
      <w:pPr>
        <w:numPr>
          <w:ilvl w:val="0"/>
          <w:numId w:val="4"/>
        </w:numPr>
        <w:spacing w:line="240" w:lineRule="auto"/>
        <w:contextualSpacing/>
        <w:rPr>
          <w:rFonts w:eastAsia="MS Mincho"/>
          <w:iCs/>
          <w:color w:val="000000" w:themeColor="text1"/>
          <w:sz w:val="24"/>
          <w:lang w:val="es-CR" w:eastAsia="es-ES"/>
        </w:rPr>
      </w:pPr>
      <w:r w:rsidRPr="00F24E05">
        <w:rPr>
          <w:rFonts w:eastAsia="MS Mincho"/>
          <w:iCs/>
          <w:color w:val="000000" w:themeColor="text1"/>
          <w:sz w:val="24"/>
          <w:lang w:val="es-CR" w:eastAsia="es-ES"/>
        </w:rPr>
        <w:t xml:space="preserve">El artículo 133 de la “Ley Orgánica del Banco Central de Costa Rica”, Ley No. 7558 establece las reglas para que la Superintendencia informe a las entidades fiscalizadas sobre la situación de los deudores, a partir de la información que se mantiene en virtud del ejercicio de las labores de supervisión preventiva, en materia de concentración de riesgos crediticios. </w:t>
      </w:r>
      <w:r w:rsidRPr="00F24E05" w:rsidR="002036A6">
        <w:rPr>
          <w:rFonts w:eastAsia="MS Mincho"/>
          <w:iCs/>
          <w:color w:val="000000" w:themeColor="text1"/>
          <w:sz w:val="24"/>
          <w:lang w:val="es-CR" w:eastAsia="es-ES"/>
        </w:rPr>
        <w:t>Entre estas, e</w:t>
      </w:r>
      <w:r w:rsidRPr="00F24E05">
        <w:rPr>
          <w:rFonts w:eastAsia="MS Mincho"/>
          <w:iCs/>
          <w:color w:val="000000" w:themeColor="text1"/>
          <w:sz w:val="24"/>
          <w:lang w:val="es-CR" w:eastAsia="es-ES"/>
        </w:rPr>
        <w:t>l Inciso a) establece la obligación para la entidad de contar con una autorización escrita de la persona</w:t>
      </w:r>
      <w:r w:rsidRPr="00F24E05" w:rsidR="00D1551C">
        <w:rPr>
          <w:rFonts w:eastAsia="MS Mincho"/>
          <w:iCs/>
          <w:color w:val="000000" w:themeColor="text1"/>
          <w:sz w:val="24"/>
          <w:lang w:val="es-CR" w:eastAsia="es-ES"/>
        </w:rPr>
        <w:t xml:space="preserve"> </w:t>
      </w:r>
      <w:r w:rsidRPr="00F24E05">
        <w:rPr>
          <w:rFonts w:eastAsia="MS Mincho"/>
          <w:iCs/>
          <w:color w:val="000000" w:themeColor="text1"/>
          <w:sz w:val="24"/>
          <w:lang w:val="es-CR" w:eastAsia="es-ES"/>
        </w:rPr>
        <w:t xml:space="preserve">para consultar en la Superintendencia </w:t>
      </w:r>
      <w:r w:rsidRPr="00F24E05" w:rsidR="002036A6">
        <w:rPr>
          <w:rFonts w:eastAsia="MS Mincho"/>
          <w:iCs/>
          <w:color w:val="000000" w:themeColor="text1"/>
          <w:sz w:val="24"/>
          <w:lang w:val="es-CR" w:eastAsia="es-ES"/>
        </w:rPr>
        <w:t xml:space="preserve">su </w:t>
      </w:r>
      <w:r w:rsidRPr="00F24E05">
        <w:rPr>
          <w:rFonts w:eastAsia="MS Mincho"/>
          <w:iCs/>
          <w:color w:val="000000" w:themeColor="text1"/>
          <w:sz w:val="24"/>
          <w:lang w:val="es-CR" w:eastAsia="es-ES"/>
        </w:rPr>
        <w:t>información crediticia</w:t>
      </w:r>
      <w:r w:rsidRPr="00F24E05" w:rsidR="002036A6">
        <w:rPr>
          <w:rFonts w:eastAsia="MS Mincho"/>
          <w:iCs/>
          <w:color w:val="000000" w:themeColor="text1"/>
          <w:sz w:val="24"/>
          <w:lang w:val="es-CR" w:eastAsia="es-ES"/>
        </w:rPr>
        <w:t>; y el Inciso e) establece que la Superintendencia deberá establecer las medidas internas que estime necesarias para salvaguardar la confidencialidad de la información a que se refiere este artículo</w:t>
      </w:r>
      <w:r w:rsidRPr="00F24E05">
        <w:rPr>
          <w:rFonts w:eastAsia="MS Mincho"/>
          <w:iCs/>
          <w:color w:val="000000" w:themeColor="text1"/>
          <w:sz w:val="24"/>
          <w:lang w:val="es-CR" w:eastAsia="es-ES"/>
        </w:rPr>
        <w:t>.</w:t>
      </w:r>
      <w:r w:rsidRPr="00F24E05" w:rsidR="002036A6">
        <w:rPr>
          <w:rFonts w:eastAsia="MS Mincho"/>
          <w:iCs/>
          <w:color w:val="000000" w:themeColor="text1"/>
          <w:sz w:val="24"/>
          <w:lang w:val="es-CR" w:eastAsia="es-ES"/>
        </w:rPr>
        <w:t xml:space="preserve"> </w:t>
      </w:r>
      <w:r w:rsidRPr="00F24E05" w:rsidR="00D1551C">
        <w:rPr>
          <w:rFonts w:eastAsia="MS Mincho"/>
          <w:iCs/>
          <w:color w:val="000000" w:themeColor="text1"/>
          <w:sz w:val="24"/>
          <w:lang w:val="es-CR" w:eastAsia="es-ES"/>
        </w:rPr>
        <w:t xml:space="preserve">Para efectos del Inciso a) anterior se admite el uso de firma digital. </w:t>
      </w:r>
    </w:p>
    <w:p w:rsidRPr="00F24E05" w:rsidR="0099047A" w:rsidP="0099047A" w:rsidRDefault="0099047A" w14:paraId="4123064B" w14:textId="77777777">
      <w:pPr>
        <w:spacing w:line="240" w:lineRule="auto"/>
        <w:contextualSpacing/>
        <w:rPr>
          <w:rFonts w:eastAsia="MS Mincho"/>
          <w:iCs/>
          <w:color w:val="000000" w:themeColor="text1"/>
          <w:sz w:val="24"/>
          <w:lang w:val="es-CR" w:eastAsia="es-ES"/>
        </w:rPr>
      </w:pPr>
    </w:p>
    <w:p w:rsidRPr="00F24E05" w:rsidR="0099047A" w:rsidP="0099047A" w:rsidRDefault="0099047A" w14:paraId="77B540A9" w14:textId="0B6613AC">
      <w:pPr>
        <w:numPr>
          <w:ilvl w:val="0"/>
          <w:numId w:val="4"/>
        </w:numPr>
        <w:spacing w:line="240" w:lineRule="auto"/>
        <w:contextualSpacing/>
        <w:rPr>
          <w:rFonts w:eastAsia="MS Mincho"/>
          <w:iCs/>
          <w:color w:val="000000" w:themeColor="text1"/>
          <w:sz w:val="24"/>
          <w:lang w:val="es-CR" w:eastAsia="es-ES"/>
        </w:rPr>
      </w:pPr>
      <w:r w:rsidRPr="00F24E05">
        <w:rPr>
          <w:sz w:val="24"/>
          <w:lang w:val="es-CR"/>
        </w:rPr>
        <w:t xml:space="preserve">La </w:t>
      </w:r>
      <w:r w:rsidRPr="00F24E05" w:rsidR="002036A6">
        <w:rPr>
          <w:sz w:val="24"/>
          <w:lang w:val="es-CR"/>
        </w:rPr>
        <w:t>“</w:t>
      </w:r>
      <w:r w:rsidRPr="00F24E05">
        <w:rPr>
          <w:sz w:val="24"/>
          <w:lang w:val="es-CR"/>
        </w:rPr>
        <w:t>Ley de Protección de la Persona Frente al Tratamiento de sus Datos Personales</w:t>
      </w:r>
      <w:r w:rsidRPr="00F24E05" w:rsidR="002036A6">
        <w:rPr>
          <w:sz w:val="24"/>
          <w:lang w:val="es-CR"/>
        </w:rPr>
        <w:t>”</w:t>
      </w:r>
      <w:r w:rsidRPr="00F24E05">
        <w:rPr>
          <w:sz w:val="24"/>
          <w:lang w:val="es-CR"/>
        </w:rPr>
        <w:t>, Ley No. 8968 establece en su artículo 6 el principio de calidad de la información.</w:t>
      </w:r>
    </w:p>
    <w:p w:rsidRPr="00F24E05" w:rsidR="002036A6" w:rsidP="002036A6" w:rsidRDefault="002036A6" w14:paraId="2480C787" w14:textId="77777777">
      <w:pPr>
        <w:pStyle w:val="Prrafodelista"/>
        <w:rPr>
          <w:rFonts w:eastAsia="MS Mincho"/>
          <w:iCs/>
          <w:color w:val="000000" w:themeColor="text1"/>
          <w:sz w:val="24"/>
          <w:lang w:val="es-CR" w:eastAsia="es-ES"/>
        </w:rPr>
      </w:pPr>
    </w:p>
    <w:p w:rsidRPr="00F24E05" w:rsidR="002036A6" w:rsidP="00E87F33" w:rsidRDefault="002036A6" w14:paraId="72541CFD" w14:textId="073A3257">
      <w:pPr>
        <w:pStyle w:val="Prrafodelista"/>
        <w:numPr>
          <w:ilvl w:val="0"/>
          <w:numId w:val="4"/>
        </w:numPr>
        <w:spacing w:line="240" w:lineRule="auto"/>
        <w:rPr>
          <w:bCs/>
          <w:sz w:val="24"/>
          <w:lang w:val="es-CR"/>
        </w:rPr>
      </w:pPr>
      <w:r w:rsidRPr="00F24E05">
        <w:rPr>
          <w:bCs/>
          <w:sz w:val="24"/>
          <w:lang w:val="es-CR"/>
        </w:rPr>
        <w:t xml:space="preserve">La debida diligencia por parte de las entidades en la verificación de la identidad de la persona y en la completitud y exactitud de la correspondiente autorización para consulta, resulta fundamental para que la Superintendencia otorgue a la entidad el acceso a la información de la persona. En caso contrario, la solicitud de autorización puede acarrear vicios que la invaliden, configurándose en tal caso un acceso indebido a la información que mantiene la SUGEF sobre la situación del deudor.  </w:t>
      </w:r>
    </w:p>
    <w:p w:rsidRPr="00F24E05" w:rsidR="002036A6" w:rsidP="002036A6" w:rsidRDefault="002036A6" w14:paraId="1FE902EF" w14:textId="77777777">
      <w:pPr>
        <w:pStyle w:val="Prrafodelista"/>
        <w:rPr>
          <w:bCs/>
          <w:sz w:val="24"/>
          <w:lang w:val="es-CR"/>
        </w:rPr>
      </w:pPr>
    </w:p>
    <w:p w:rsidRPr="00F24E05" w:rsidR="00E87F33" w:rsidP="002036A6" w:rsidRDefault="002036A6" w14:paraId="1004656A" w14:textId="439E5F51">
      <w:pPr>
        <w:pStyle w:val="Prrafodelista"/>
        <w:numPr>
          <w:ilvl w:val="0"/>
          <w:numId w:val="4"/>
        </w:numPr>
        <w:spacing w:line="240" w:lineRule="auto"/>
        <w:rPr>
          <w:bCs/>
          <w:sz w:val="24"/>
          <w:lang w:val="es-CR"/>
        </w:rPr>
      </w:pPr>
      <w:r w:rsidRPr="00F24E05">
        <w:rPr>
          <w:bCs/>
          <w:sz w:val="24"/>
          <w:lang w:val="es-CR"/>
        </w:rPr>
        <w:t>Por lo anterior, m</w:t>
      </w:r>
      <w:r w:rsidRPr="00F24E05" w:rsidR="00E87F33">
        <w:rPr>
          <w:bCs/>
          <w:sz w:val="24"/>
          <w:lang w:val="es-CR"/>
        </w:rPr>
        <w:t xml:space="preserve">ediante Circular Externa SGF-3888-2018 del 18 de diciembre del 2018 se comunicó a las entidades financieras supervisadas que tienen acceso a Sistema del Centro de Información Crediticia (CIC) </w:t>
      </w:r>
      <w:r w:rsidRPr="00F24E05">
        <w:rPr>
          <w:bCs/>
          <w:sz w:val="24"/>
          <w:lang w:val="es-CR"/>
        </w:rPr>
        <w:t xml:space="preserve">que la Superintendencia procedería con el </w:t>
      </w:r>
      <w:r w:rsidRPr="00F24E05" w:rsidR="00E87F33">
        <w:rPr>
          <w:bCs/>
          <w:sz w:val="24"/>
          <w:lang w:val="es-CR"/>
        </w:rPr>
        <w:t xml:space="preserve">cierre de autorizaciones del CIC </w:t>
      </w:r>
      <w:r w:rsidRPr="00F24E05">
        <w:rPr>
          <w:bCs/>
          <w:sz w:val="24"/>
          <w:lang w:val="es-CR"/>
        </w:rPr>
        <w:t xml:space="preserve">que incumplan con </w:t>
      </w:r>
      <w:r w:rsidRPr="00F24E05" w:rsidR="00E87F33">
        <w:rPr>
          <w:bCs/>
          <w:sz w:val="24"/>
          <w:lang w:val="es-CR"/>
        </w:rPr>
        <w:t>los requisitos establecidos en el Acuerdo SUGEF 7-06 “Reglamento de Centro de Información Crediticia” y en el Manual del Centro de Información Crediticia (CIC).</w:t>
      </w:r>
      <w:r w:rsidRPr="00F24E05">
        <w:rPr>
          <w:bCs/>
          <w:sz w:val="24"/>
          <w:lang w:val="es-CR"/>
        </w:rPr>
        <w:t xml:space="preserve"> E</w:t>
      </w:r>
      <w:r w:rsidRPr="00F24E05" w:rsidR="00E87F33">
        <w:rPr>
          <w:rFonts w:eastAsia="MS Mincho"/>
          <w:iCs/>
          <w:color w:val="000000" w:themeColor="text1"/>
          <w:sz w:val="24"/>
          <w:lang w:val="es-CR" w:eastAsia="es-ES"/>
        </w:rPr>
        <w:t xml:space="preserve">n el artículo 8 del </w:t>
      </w:r>
      <w:r w:rsidRPr="00F24E05" w:rsidR="00E87F33">
        <w:rPr>
          <w:bCs/>
          <w:sz w:val="24"/>
          <w:lang w:val="es-CR"/>
        </w:rPr>
        <w:t>Acuerdo SUGEF 7-06 “Reglamento de Centro de Información Crediticia”, se establece el procedimiento para autorizaciones y revocatorias en el CIC</w:t>
      </w:r>
      <w:r w:rsidRPr="00F24E05" w:rsidR="009B1DAF">
        <w:rPr>
          <w:bCs/>
          <w:sz w:val="24"/>
          <w:lang w:val="es-CR"/>
        </w:rPr>
        <w:t>, donde e</w:t>
      </w:r>
      <w:r w:rsidRPr="00F24E05" w:rsidR="00E87F33">
        <w:rPr>
          <w:bCs/>
          <w:sz w:val="24"/>
          <w:lang w:val="es-CR"/>
        </w:rPr>
        <w:t>specíficamente se indica en el literal b y c lo siguiente:</w:t>
      </w:r>
    </w:p>
    <w:p w:rsidRPr="00F24E05" w:rsidR="00E87F33" w:rsidP="00E87F33" w:rsidRDefault="00E87F33" w14:paraId="13B34FFA" w14:textId="77777777">
      <w:pPr>
        <w:spacing w:line="240" w:lineRule="auto"/>
        <w:contextualSpacing/>
        <w:rPr>
          <w:rFonts w:eastAsia="MS Mincho"/>
          <w:iCs/>
          <w:color w:val="000000" w:themeColor="text1"/>
          <w:sz w:val="24"/>
          <w:lang w:val="es-CR" w:eastAsia="es-ES"/>
        </w:rPr>
      </w:pPr>
    </w:p>
    <w:p w:rsidRPr="00F24E05" w:rsidR="00E87F33" w:rsidP="009B1DAF" w:rsidRDefault="00E87F33" w14:paraId="610FF3B3" w14:textId="77777777">
      <w:pPr>
        <w:pStyle w:val="Default"/>
        <w:ind w:left="1134" w:right="441"/>
        <w:jc w:val="both"/>
        <w:rPr>
          <w:rFonts w:ascii="Cambria" w:hAnsi="Cambria"/>
          <w:i/>
          <w:color w:val="auto"/>
          <w:u w:val="single"/>
        </w:rPr>
      </w:pPr>
      <w:r w:rsidRPr="00F24E05">
        <w:rPr>
          <w:rFonts w:ascii="Cambria" w:hAnsi="Cambria"/>
          <w:color w:val="auto"/>
        </w:rPr>
        <w:t>“b. (</w:t>
      </w:r>
      <w:r w:rsidRPr="00F24E05">
        <w:rPr>
          <w:rFonts w:ascii="Cambria" w:hAnsi="Cambria"/>
          <w:i/>
          <w:color w:val="auto"/>
        </w:rPr>
        <w:t xml:space="preserve">…) </w:t>
      </w:r>
      <w:r w:rsidRPr="00F24E05">
        <w:rPr>
          <w:rFonts w:ascii="Cambria" w:hAnsi="Cambria"/>
          <w:i/>
          <w:color w:val="auto"/>
        </w:rPr>
        <w:tab/>
        <w:t xml:space="preserve">El usuario autorizado debe tramitar la solicitud de autorización en el CIC y anexar en ese sistema </w:t>
      </w:r>
      <w:r w:rsidRPr="00F24E05">
        <w:rPr>
          <w:rFonts w:ascii="Cambria" w:hAnsi="Cambria"/>
          <w:i/>
          <w:color w:val="auto"/>
          <w:u w:val="single"/>
        </w:rPr>
        <w:t xml:space="preserve">copia digital del documento de identidad y de la solicitud, firmada por escrito, o mediante los mecanismos de firma digital, del solicitante o su represente legal. </w:t>
      </w:r>
    </w:p>
    <w:p w:rsidRPr="00F24E05" w:rsidR="00E87F33" w:rsidP="009B1DAF" w:rsidRDefault="00E87F33" w14:paraId="3C04F79D" w14:textId="77777777">
      <w:pPr>
        <w:pStyle w:val="Default"/>
        <w:ind w:left="1134" w:right="441"/>
        <w:jc w:val="both"/>
        <w:rPr>
          <w:rFonts w:ascii="Cambria" w:hAnsi="Cambria"/>
          <w:i/>
          <w:color w:val="auto"/>
        </w:rPr>
      </w:pPr>
      <w:r w:rsidRPr="00F24E05">
        <w:rPr>
          <w:rFonts w:ascii="Cambria" w:hAnsi="Cambria"/>
          <w:i/>
          <w:color w:val="auto"/>
          <w:u w:val="single"/>
        </w:rPr>
        <w:t>En el caso de personas jurídicas, adicionalmente debe incluirse copia digital de la certificación de la personería jurídica</w:t>
      </w:r>
      <w:r w:rsidRPr="00F24E05">
        <w:rPr>
          <w:rFonts w:ascii="Cambria" w:hAnsi="Cambria"/>
          <w:i/>
          <w:color w:val="auto"/>
        </w:rPr>
        <w:t>.</w:t>
      </w:r>
    </w:p>
    <w:p w:rsidRPr="00F24E05" w:rsidR="00E87F33" w:rsidP="009B1DAF" w:rsidRDefault="00E87F33" w14:paraId="259C16DB" w14:textId="77777777">
      <w:pPr>
        <w:pStyle w:val="Default"/>
        <w:ind w:left="1134" w:right="441"/>
        <w:jc w:val="both"/>
        <w:rPr>
          <w:rFonts w:ascii="Cambria" w:hAnsi="Cambria"/>
          <w:i/>
          <w:color w:val="auto"/>
        </w:rPr>
      </w:pPr>
      <w:r w:rsidRPr="00F24E05">
        <w:rPr>
          <w:rFonts w:ascii="Cambria" w:hAnsi="Cambria"/>
          <w:i/>
          <w:color w:val="auto"/>
        </w:rPr>
        <w:t>El formato y características que deberán tener las copias electrónicas de los documentos de identidad y certificaciones de personería jurídica, serán las que establezca la SUGEF en el Manual de Información del Centro de Información Crediticia. Es responsabilidad de cada entidad velar porque la información incluida, no presente incongruencias, sea correcta, sea legible, esté completa y sea enviada con el ingreso de la autorización.</w:t>
      </w:r>
    </w:p>
    <w:p w:rsidRPr="00F24E05" w:rsidR="00E87F33" w:rsidP="009B1DAF" w:rsidRDefault="00E87F33" w14:paraId="70259AB6" w14:textId="77777777">
      <w:pPr>
        <w:pStyle w:val="Default"/>
        <w:ind w:left="1134" w:right="441"/>
        <w:jc w:val="both"/>
        <w:rPr>
          <w:rFonts w:ascii="Cambria" w:hAnsi="Cambria"/>
          <w:i/>
          <w:color w:val="auto"/>
        </w:rPr>
      </w:pPr>
    </w:p>
    <w:p w:rsidRPr="00F24E05" w:rsidR="00E87F33" w:rsidP="009B1DAF" w:rsidRDefault="00E87F33" w14:paraId="6DAD1912" w14:textId="77777777">
      <w:pPr>
        <w:pStyle w:val="Default"/>
        <w:ind w:left="1134" w:right="441"/>
        <w:jc w:val="both"/>
        <w:rPr>
          <w:rFonts w:ascii="Cambria" w:hAnsi="Cambria"/>
          <w:i/>
          <w:color w:val="auto"/>
        </w:rPr>
      </w:pPr>
      <w:r w:rsidRPr="00F24E05">
        <w:rPr>
          <w:rFonts w:ascii="Cambria" w:hAnsi="Cambria"/>
          <w:i/>
          <w:color w:val="auto"/>
        </w:rPr>
        <w:t>c. Trámite de solicitud de revocación.</w:t>
      </w:r>
    </w:p>
    <w:p w:rsidRPr="00F24E05" w:rsidR="00E87F33" w:rsidP="009B1DAF" w:rsidRDefault="00E87F33" w14:paraId="24A7C98B" w14:textId="77777777">
      <w:pPr>
        <w:pStyle w:val="Default"/>
        <w:ind w:left="1134" w:right="441"/>
        <w:jc w:val="both"/>
        <w:rPr>
          <w:rFonts w:ascii="Cambria" w:hAnsi="Cambria"/>
          <w:color w:val="auto"/>
        </w:rPr>
      </w:pPr>
      <w:r w:rsidRPr="00F24E05">
        <w:rPr>
          <w:rFonts w:ascii="Cambria" w:hAnsi="Cambria"/>
          <w:i/>
          <w:color w:val="auto"/>
        </w:rPr>
        <w:t>Cuando una persona desea revocar una solicitud de autorización, la entidad debe tramitar la solicitud en el CIC y adjuntar en el sistema los documentos completos y legibles, establecidos en el Manual de Información del Centro de Información Crediticia. (…)</w:t>
      </w:r>
      <w:r w:rsidRPr="00F24E05">
        <w:rPr>
          <w:rFonts w:ascii="Cambria" w:hAnsi="Cambria"/>
          <w:color w:val="auto"/>
        </w:rPr>
        <w:t>” (el destacado no es del original)</w:t>
      </w:r>
    </w:p>
    <w:p w:rsidRPr="00F24E05" w:rsidR="00E87F33" w:rsidP="00E87F33" w:rsidRDefault="00E87F33" w14:paraId="53EB92AA" w14:textId="77777777">
      <w:pPr>
        <w:pStyle w:val="Default"/>
        <w:jc w:val="both"/>
        <w:rPr>
          <w:rFonts w:ascii="Cambria" w:hAnsi="Cambria"/>
          <w:color w:val="auto"/>
        </w:rPr>
      </w:pPr>
    </w:p>
    <w:p w:rsidRPr="00F24E05" w:rsidR="00E87F33" w:rsidP="00E87F33" w:rsidRDefault="009B1DAF" w14:paraId="0F66744E" w14:textId="2C426DC5">
      <w:pPr>
        <w:numPr>
          <w:ilvl w:val="0"/>
          <w:numId w:val="4"/>
        </w:numPr>
        <w:spacing w:line="240" w:lineRule="auto"/>
        <w:contextualSpacing/>
        <w:rPr>
          <w:rFonts w:eastAsia="MS Mincho"/>
          <w:iCs/>
          <w:color w:val="000000" w:themeColor="text1"/>
          <w:sz w:val="24"/>
          <w:lang w:val="es-CR" w:eastAsia="es-ES"/>
        </w:rPr>
      </w:pPr>
      <w:r w:rsidRPr="00F24E05">
        <w:rPr>
          <w:rFonts w:eastAsia="MS Mincho"/>
          <w:iCs/>
          <w:color w:val="000000" w:themeColor="text1"/>
          <w:sz w:val="24"/>
          <w:lang w:val="es-CR" w:eastAsia="es-ES"/>
        </w:rPr>
        <w:t xml:space="preserve">Adicionalmente, las </w:t>
      </w:r>
      <w:r w:rsidRPr="00F24E05" w:rsidR="00E87F33">
        <w:rPr>
          <w:rFonts w:eastAsia="MS Mincho"/>
          <w:iCs/>
          <w:color w:val="000000" w:themeColor="text1"/>
          <w:sz w:val="24"/>
          <w:lang w:val="es-CR" w:eastAsia="es-ES"/>
        </w:rPr>
        <w:t xml:space="preserve">autorizaciones deben cumplir con lo dispuesto en el </w:t>
      </w:r>
      <w:r w:rsidRPr="00F24E05">
        <w:rPr>
          <w:rFonts w:eastAsia="MS Mincho"/>
          <w:iCs/>
          <w:color w:val="000000" w:themeColor="text1"/>
          <w:sz w:val="24"/>
          <w:lang w:val="es-CR" w:eastAsia="es-ES"/>
        </w:rPr>
        <w:t>“</w:t>
      </w:r>
      <w:r w:rsidRPr="00F24E05" w:rsidR="00E87F33">
        <w:rPr>
          <w:rFonts w:eastAsia="MS Mincho"/>
          <w:iCs/>
          <w:color w:val="000000" w:themeColor="text1"/>
          <w:sz w:val="24"/>
          <w:lang w:val="es-CR" w:eastAsia="es-ES"/>
        </w:rPr>
        <w:t>Manual del Centro de Información Crediticia</w:t>
      </w:r>
      <w:r w:rsidRPr="00F24E05">
        <w:rPr>
          <w:rFonts w:eastAsia="MS Mincho"/>
          <w:iCs/>
          <w:color w:val="000000" w:themeColor="text1"/>
          <w:sz w:val="24"/>
          <w:lang w:val="es-CR" w:eastAsia="es-ES"/>
        </w:rPr>
        <w:t>”</w:t>
      </w:r>
      <w:r w:rsidRPr="00F24E05" w:rsidR="00E87F33">
        <w:rPr>
          <w:rFonts w:eastAsia="MS Mincho"/>
          <w:iCs/>
          <w:color w:val="000000" w:themeColor="text1"/>
          <w:sz w:val="24"/>
          <w:lang w:val="es-CR" w:eastAsia="es-ES"/>
        </w:rPr>
        <w:t xml:space="preserve"> (CIC) en todos sus extremos y, muy especialmente, con lo que señala el Artículo 7 respecto al trámite de </w:t>
      </w:r>
      <w:r w:rsidRPr="00F24E05" w:rsidR="00E87F33">
        <w:rPr>
          <w:rFonts w:eastAsia="MS Mincho"/>
          <w:iCs/>
          <w:color w:val="000000" w:themeColor="text1"/>
          <w:sz w:val="24"/>
          <w:lang w:val="es-CR" w:eastAsia="es-ES"/>
        </w:rPr>
        <w:lastRenderedPageBreak/>
        <w:t>inclusión de autorizaciones mediante el Sistema del Centro de Información Crediticia.</w:t>
      </w:r>
      <w:r w:rsidRPr="00F24E05">
        <w:rPr>
          <w:rFonts w:eastAsia="MS Mincho"/>
          <w:iCs/>
          <w:color w:val="000000" w:themeColor="text1"/>
          <w:sz w:val="24"/>
          <w:lang w:val="es-CR" w:eastAsia="es-ES"/>
        </w:rPr>
        <w:t xml:space="preserve"> </w:t>
      </w:r>
    </w:p>
    <w:p w:rsidRPr="00F24E05" w:rsidR="00E87F33" w:rsidP="00E87F33" w:rsidRDefault="00E87F33" w14:paraId="68888111" w14:textId="77777777">
      <w:pPr>
        <w:spacing w:line="240" w:lineRule="auto"/>
        <w:contextualSpacing/>
        <w:rPr>
          <w:rFonts w:eastAsia="MS Mincho"/>
          <w:iCs/>
          <w:color w:val="000000" w:themeColor="text1"/>
          <w:sz w:val="24"/>
          <w:lang w:val="es-CR" w:eastAsia="es-ES"/>
        </w:rPr>
      </w:pPr>
    </w:p>
    <w:p w:rsidRPr="00F24E05" w:rsidR="00E87F33" w:rsidP="00E87F33" w:rsidRDefault="00E87F33" w14:paraId="57CC53DF" w14:textId="77777777">
      <w:pPr>
        <w:numPr>
          <w:ilvl w:val="0"/>
          <w:numId w:val="4"/>
        </w:numPr>
        <w:spacing w:line="240" w:lineRule="auto"/>
        <w:contextualSpacing/>
        <w:rPr>
          <w:bCs/>
          <w:sz w:val="24"/>
          <w:lang w:val="es-CR"/>
        </w:rPr>
      </w:pPr>
      <w:r w:rsidRPr="00F24E05">
        <w:rPr>
          <w:rFonts w:eastAsia="MS Mincho"/>
          <w:iCs/>
          <w:color w:val="000000" w:themeColor="text1"/>
          <w:sz w:val="24"/>
          <w:lang w:val="es-CR" w:eastAsia="es-ES"/>
        </w:rPr>
        <w:t xml:space="preserve">Mediante Circulares Externas SGF-2410-2020 y </w:t>
      </w:r>
      <w:r w:rsidRPr="00F24E05">
        <w:rPr>
          <w:sz w:val="24"/>
          <w:lang w:val="es-CR"/>
        </w:rPr>
        <w:t>SGF-</w:t>
      </w:r>
      <w:r w:rsidRPr="00F24E05">
        <w:rPr>
          <w:rFonts w:cs="Arial"/>
          <w:sz w:val="24"/>
          <w:lang w:val="es-CR" w:eastAsia="es-ES"/>
        </w:rPr>
        <w:t xml:space="preserve"> 2712-2020 se informa a los </w:t>
      </w:r>
      <w:r w:rsidRPr="00F24E05">
        <w:rPr>
          <w:bCs/>
          <w:sz w:val="24"/>
          <w:lang w:val="es-CR"/>
        </w:rPr>
        <w:t xml:space="preserve">oferentes de crédito según Ley </w:t>
      </w:r>
      <w:proofErr w:type="spellStart"/>
      <w:r w:rsidRPr="00F24E05">
        <w:rPr>
          <w:bCs/>
          <w:sz w:val="24"/>
          <w:lang w:val="es-CR"/>
        </w:rPr>
        <w:t>N.°</w:t>
      </w:r>
      <w:proofErr w:type="spellEnd"/>
      <w:r w:rsidRPr="00F24E05">
        <w:rPr>
          <w:bCs/>
          <w:sz w:val="24"/>
          <w:lang w:val="es-CR"/>
        </w:rPr>
        <w:t xml:space="preserve"> 9859: “Adición de los artículos 36 bis, 36 ter, 36 </w:t>
      </w:r>
      <w:proofErr w:type="spellStart"/>
      <w:r w:rsidRPr="00F24E05">
        <w:rPr>
          <w:bCs/>
          <w:sz w:val="24"/>
          <w:lang w:val="es-CR"/>
        </w:rPr>
        <w:t>quater</w:t>
      </w:r>
      <w:proofErr w:type="spellEnd"/>
      <w:r w:rsidRPr="00F24E05">
        <w:rPr>
          <w:bCs/>
          <w:sz w:val="24"/>
          <w:lang w:val="es-CR"/>
        </w:rPr>
        <w:t xml:space="preserve">, 44 ter y de los incisos g) y h) al artículo 53, y reforma de los artículos 44 bis y 63 de la Ley 7472, Promoción de la Competencia y Defensa Efectiva del consumidor”, de 20 de diciembre de 1994, los requisitos para consultar directamente la Central de Información Crediticia de la SUGEF y tramitar autorizaciones. </w:t>
      </w:r>
    </w:p>
    <w:p w:rsidRPr="00F24E05" w:rsidR="00E87F33" w:rsidP="00E87F33" w:rsidRDefault="00E87F33" w14:paraId="54BA8507" w14:textId="77777777">
      <w:pPr>
        <w:spacing w:line="240" w:lineRule="auto"/>
        <w:contextualSpacing/>
        <w:rPr>
          <w:bCs/>
          <w:sz w:val="24"/>
          <w:lang w:val="es-CR"/>
        </w:rPr>
      </w:pPr>
    </w:p>
    <w:p w:rsidRPr="00F24E05" w:rsidR="00E87F33" w:rsidP="00E87F33" w:rsidRDefault="00E87F33" w14:paraId="128E306B" w14:textId="77777777">
      <w:pPr>
        <w:numPr>
          <w:ilvl w:val="0"/>
          <w:numId w:val="4"/>
        </w:numPr>
        <w:spacing w:line="240" w:lineRule="auto"/>
        <w:contextualSpacing/>
        <w:rPr>
          <w:bCs/>
          <w:sz w:val="24"/>
          <w:lang w:val="es-CR"/>
        </w:rPr>
      </w:pPr>
      <w:r w:rsidRPr="00F24E05">
        <w:rPr>
          <w:bCs/>
          <w:sz w:val="24"/>
          <w:lang w:val="es-CR"/>
        </w:rPr>
        <w:t xml:space="preserve">Mediante Circular Externa SGF-4101-2020 la SUGEF comunico la Implementación del Sistema Centro de Información Crediticia para Oferentes de Crédito (CICOC), el cual </w:t>
      </w:r>
      <w:r w:rsidRPr="00F24E05">
        <w:rPr>
          <w:sz w:val="24"/>
          <w:lang w:val="es-CR"/>
        </w:rPr>
        <w:t>es una aplicación informática implementada por la SUGEF que permite a las personas físicas o jurídicas que actúan como oferentes de crédito, no supervisados por la SUGEF, tener acceso a la información crediticia de sus clientes.</w:t>
      </w:r>
    </w:p>
    <w:p w:rsidRPr="00F24E05" w:rsidR="00E87F33" w:rsidP="00E87F33" w:rsidRDefault="00E87F33" w14:paraId="73E4284C" w14:textId="77777777">
      <w:pPr>
        <w:spacing w:line="240" w:lineRule="auto"/>
        <w:contextualSpacing/>
        <w:rPr>
          <w:bCs/>
          <w:sz w:val="24"/>
          <w:lang w:val="es-CR"/>
        </w:rPr>
      </w:pPr>
    </w:p>
    <w:p w:rsidRPr="00F24E05" w:rsidR="000F20F4" w:rsidP="008C6980" w:rsidRDefault="00E87F33" w14:paraId="0F704CC2" w14:textId="421DF6AB">
      <w:pPr>
        <w:numPr>
          <w:ilvl w:val="0"/>
          <w:numId w:val="4"/>
        </w:numPr>
        <w:spacing w:line="240" w:lineRule="auto"/>
        <w:contextualSpacing/>
        <w:rPr>
          <w:rFonts w:cs="Arial"/>
          <w:sz w:val="24"/>
          <w:lang w:val="es-CR"/>
        </w:rPr>
      </w:pPr>
      <w:r w:rsidRPr="00F24E05">
        <w:rPr>
          <w:rFonts w:eastAsia="MS Mincho"/>
          <w:iCs/>
          <w:color w:val="000000" w:themeColor="text1"/>
          <w:sz w:val="24"/>
          <w:lang w:val="es-CR" w:eastAsia="es-ES"/>
        </w:rPr>
        <w:t xml:space="preserve">La SUGEF </w:t>
      </w:r>
      <w:r w:rsidRPr="00F24E05" w:rsidR="00A83E03">
        <w:rPr>
          <w:rFonts w:eastAsia="MS Mincho"/>
          <w:iCs/>
          <w:color w:val="000000" w:themeColor="text1"/>
          <w:sz w:val="24"/>
          <w:lang w:val="es-CR" w:eastAsia="es-ES"/>
        </w:rPr>
        <w:t xml:space="preserve">ha </w:t>
      </w:r>
      <w:r w:rsidRPr="00F24E05" w:rsidR="00C43630">
        <w:rPr>
          <w:rFonts w:eastAsia="MS Mincho"/>
          <w:iCs/>
          <w:color w:val="000000" w:themeColor="text1"/>
          <w:sz w:val="24"/>
          <w:lang w:val="es-CR" w:eastAsia="es-ES"/>
        </w:rPr>
        <w:t xml:space="preserve">detectado errores u omisiones en la información que respalda </w:t>
      </w:r>
      <w:r w:rsidRPr="00F24E05" w:rsidR="00A83E03">
        <w:rPr>
          <w:rFonts w:eastAsia="MS Mincho"/>
          <w:iCs/>
          <w:color w:val="000000" w:themeColor="text1"/>
          <w:sz w:val="24"/>
          <w:lang w:val="es-CR" w:eastAsia="es-ES"/>
        </w:rPr>
        <w:t xml:space="preserve">las autorizaciones tramitadas </w:t>
      </w:r>
      <w:r w:rsidRPr="00F24E05" w:rsidR="00F64E7F">
        <w:rPr>
          <w:rFonts w:eastAsia="MS Mincho"/>
          <w:iCs/>
          <w:color w:val="000000" w:themeColor="text1"/>
          <w:sz w:val="24"/>
          <w:lang w:val="es-CR" w:eastAsia="es-ES"/>
        </w:rPr>
        <w:t xml:space="preserve">en el CIC </w:t>
      </w:r>
      <w:r w:rsidRPr="00F24E05" w:rsidR="00A83E03">
        <w:rPr>
          <w:rFonts w:eastAsia="MS Mincho"/>
          <w:iCs/>
          <w:color w:val="000000" w:themeColor="text1"/>
          <w:sz w:val="24"/>
          <w:lang w:val="es-CR" w:eastAsia="es-ES"/>
        </w:rPr>
        <w:t>por las entidades financieras supervisadas y en el CICOC por los oferentes de crédito y sujetes obligados. E</w:t>
      </w:r>
      <w:r w:rsidRPr="00F24E05" w:rsidR="00C43630">
        <w:rPr>
          <w:rFonts w:eastAsia="MS Mincho"/>
          <w:iCs/>
          <w:color w:val="000000" w:themeColor="text1"/>
          <w:sz w:val="24"/>
          <w:lang w:val="es-CR" w:eastAsia="es-ES"/>
        </w:rPr>
        <w:t>n algunos casos, las faltas fueron reiterada</w:t>
      </w:r>
      <w:r w:rsidRPr="00F24E05" w:rsidR="00A83E03">
        <w:rPr>
          <w:rFonts w:eastAsia="MS Mincho"/>
          <w:iCs/>
          <w:color w:val="000000" w:themeColor="text1"/>
          <w:sz w:val="24"/>
          <w:lang w:val="es-CR" w:eastAsia="es-ES"/>
        </w:rPr>
        <w:t>s</w:t>
      </w:r>
      <w:r w:rsidRPr="00F24E05" w:rsidR="00C43630">
        <w:rPr>
          <w:rFonts w:eastAsia="MS Mincho"/>
          <w:iCs/>
          <w:color w:val="000000" w:themeColor="text1"/>
          <w:sz w:val="24"/>
          <w:lang w:val="es-CR" w:eastAsia="es-ES"/>
        </w:rPr>
        <w:t xml:space="preserve"> por parte de algunas entidades.</w:t>
      </w:r>
      <w:r w:rsidRPr="00F24E05">
        <w:rPr>
          <w:rFonts w:cs="Arial"/>
          <w:sz w:val="24"/>
          <w:lang w:val="es-CR"/>
        </w:rPr>
        <w:t xml:space="preserve"> </w:t>
      </w:r>
      <w:r w:rsidRPr="00F24E05" w:rsidR="00D44AFC">
        <w:rPr>
          <w:rFonts w:cs="Arial"/>
          <w:sz w:val="24"/>
          <w:lang w:val="es-CR"/>
        </w:rPr>
        <w:t xml:space="preserve">Esta situación </w:t>
      </w:r>
      <w:r w:rsidRPr="00F24E05" w:rsidR="006C2CE4">
        <w:rPr>
          <w:rFonts w:cs="Arial"/>
          <w:sz w:val="24"/>
          <w:lang w:val="es-CR"/>
        </w:rPr>
        <w:t xml:space="preserve">expone a la Superintendencia a </w:t>
      </w:r>
      <w:r w:rsidRPr="00F24E05" w:rsidR="00F64E7F">
        <w:rPr>
          <w:rFonts w:cs="Arial"/>
          <w:sz w:val="24"/>
          <w:lang w:val="es-CR"/>
        </w:rPr>
        <w:t xml:space="preserve">habilitar el acceso a </w:t>
      </w:r>
      <w:r w:rsidRPr="00F24E05" w:rsidR="006C2CE4">
        <w:rPr>
          <w:rFonts w:cs="Arial"/>
          <w:sz w:val="24"/>
          <w:lang w:val="es-CR"/>
        </w:rPr>
        <w:t xml:space="preserve">información crediticia </w:t>
      </w:r>
      <w:r w:rsidRPr="00F24E05" w:rsidR="00F64E7F">
        <w:rPr>
          <w:rFonts w:cs="Arial"/>
          <w:sz w:val="24"/>
          <w:lang w:val="es-CR"/>
        </w:rPr>
        <w:t xml:space="preserve">con </w:t>
      </w:r>
      <w:r w:rsidRPr="00F24E05" w:rsidR="006C2CE4">
        <w:rPr>
          <w:rFonts w:cs="Arial"/>
          <w:sz w:val="24"/>
          <w:lang w:val="es-CR"/>
        </w:rPr>
        <w:t>autorizaciones con información incorrecta</w:t>
      </w:r>
      <w:r w:rsidRPr="00F24E05" w:rsidR="00F64E7F">
        <w:rPr>
          <w:rFonts w:cs="Arial"/>
          <w:sz w:val="24"/>
          <w:lang w:val="es-CR"/>
        </w:rPr>
        <w:t xml:space="preserve">. Esta misma situación </w:t>
      </w:r>
      <w:r w:rsidRPr="00F24E05" w:rsidR="006C2CE4">
        <w:rPr>
          <w:rFonts w:cs="Arial"/>
          <w:sz w:val="24"/>
          <w:lang w:val="es-CR"/>
        </w:rPr>
        <w:t xml:space="preserve">encuentra reflejo en </w:t>
      </w:r>
      <w:r w:rsidRPr="00F24E05" w:rsidR="00F64E7F">
        <w:rPr>
          <w:rFonts w:cs="Arial"/>
          <w:sz w:val="24"/>
          <w:lang w:val="es-CR"/>
        </w:rPr>
        <w:t xml:space="preserve">las entidades supervisadas, cuyos </w:t>
      </w:r>
      <w:r w:rsidRPr="00F24E05" w:rsidR="00D44AFC">
        <w:rPr>
          <w:rFonts w:cs="Arial"/>
          <w:sz w:val="24"/>
          <w:lang w:val="es-CR"/>
        </w:rPr>
        <w:t>d</w:t>
      </w:r>
      <w:r w:rsidRPr="00F24E05" w:rsidR="00F64E7F">
        <w:rPr>
          <w:rFonts w:cs="Arial"/>
          <w:sz w:val="24"/>
          <w:lang w:val="es-CR"/>
        </w:rPr>
        <w:t>é</w:t>
      </w:r>
      <w:r w:rsidRPr="00F24E05" w:rsidR="00D44AFC">
        <w:rPr>
          <w:rFonts w:cs="Arial"/>
          <w:sz w:val="24"/>
          <w:lang w:val="es-CR"/>
        </w:rPr>
        <w:t>bil</w:t>
      </w:r>
      <w:r w:rsidRPr="00F24E05" w:rsidR="00F64E7F">
        <w:rPr>
          <w:rFonts w:cs="Arial"/>
          <w:sz w:val="24"/>
          <w:lang w:val="es-CR"/>
        </w:rPr>
        <w:t xml:space="preserve">es procesos de control interno y de cumplimiento legal y regulatorio, les impide identificar y solventar oportunamente los errores, lo cual a su vez </w:t>
      </w:r>
      <w:r w:rsidRPr="00F24E05" w:rsidR="00290514">
        <w:rPr>
          <w:rFonts w:cs="Arial"/>
          <w:sz w:val="24"/>
          <w:lang w:val="es-CR"/>
        </w:rPr>
        <w:t>configur</w:t>
      </w:r>
      <w:r w:rsidRPr="00F24E05" w:rsidR="00F64E7F">
        <w:rPr>
          <w:rFonts w:cs="Arial"/>
          <w:sz w:val="24"/>
          <w:lang w:val="es-CR"/>
        </w:rPr>
        <w:t xml:space="preserve">a </w:t>
      </w:r>
      <w:r w:rsidRPr="00F24E05" w:rsidR="00290514">
        <w:rPr>
          <w:rFonts w:cs="Arial"/>
          <w:sz w:val="24"/>
          <w:lang w:val="es-CR"/>
        </w:rPr>
        <w:t xml:space="preserve">un riesgo legal para la entidad. </w:t>
      </w:r>
      <w:r w:rsidRPr="00F24E05" w:rsidR="000F20F4">
        <w:rPr>
          <w:rFonts w:cs="Arial"/>
          <w:sz w:val="24"/>
          <w:lang w:val="es-CR"/>
        </w:rPr>
        <w:t xml:space="preserve">De conformidad con lo dispuesto en el Acuerdo SUGEF 18-16 “Reglamento sobre gestión del riesgo operativo”, </w:t>
      </w:r>
      <w:r w:rsidRPr="00F24E05" w:rsidR="00F64E7F">
        <w:rPr>
          <w:rFonts w:cs="Arial"/>
          <w:sz w:val="24"/>
          <w:lang w:val="es-CR"/>
        </w:rPr>
        <w:t xml:space="preserve">los riesgos de tipo legal a que se encuentra expuesta la entidad </w:t>
      </w:r>
      <w:r w:rsidRPr="00F24E05" w:rsidR="000F20F4">
        <w:rPr>
          <w:rFonts w:cs="Arial"/>
          <w:sz w:val="24"/>
          <w:lang w:val="es-CR"/>
        </w:rPr>
        <w:t xml:space="preserve">pueden </w:t>
      </w:r>
      <w:r w:rsidRPr="00F24E05" w:rsidR="00F64E7F">
        <w:rPr>
          <w:rFonts w:cs="Arial"/>
          <w:sz w:val="24"/>
          <w:lang w:val="es-CR"/>
        </w:rPr>
        <w:t xml:space="preserve">originarse </w:t>
      </w:r>
      <w:r w:rsidRPr="00F24E05" w:rsidR="000F20F4">
        <w:rPr>
          <w:rFonts w:cs="Arial"/>
          <w:sz w:val="24"/>
          <w:lang w:val="es-CR"/>
        </w:rPr>
        <w:t xml:space="preserve">en fallos o inadecuados procesos, recursos humanos o sistemas internos. </w:t>
      </w:r>
    </w:p>
    <w:p w:rsidRPr="00F24E05" w:rsidR="000F20F4" w:rsidP="000F20F4" w:rsidRDefault="000F20F4" w14:paraId="1B883F61" w14:textId="6F3E77B4">
      <w:pPr>
        <w:spacing w:line="240" w:lineRule="auto"/>
        <w:contextualSpacing/>
        <w:rPr>
          <w:sz w:val="24"/>
          <w:lang w:val="es-CR"/>
        </w:rPr>
      </w:pPr>
    </w:p>
    <w:p w:rsidRPr="00F24E05" w:rsidR="00786437" w:rsidP="00786437" w:rsidRDefault="00786437" w14:paraId="4B6F471D" w14:textId="48BDECFF">
      <w:pPr>
        <w:numPr>
          <w:ilvl w:val="0"/>
          <w:numId w:val="4"/>
        </w:numPr>
        <w:spacing w:line="240" w:lineRule="auto"/>
        <w:contextualSpacing/>
        <w:rPr>
          <w:rFonts w:eastAsia="MS Mincho"/>
          <w:iCs/>
          <w:color w:val="000000" w:themeColor="text1"/>
          <w:sz w:val="24"/>
          <w:lang w:val="es-CR" w:eastAsia="es-ES"/>
        </w:rPr>
      </w:pPr>
      <w:r w:rsidRPr="00F24E05">
        <w:rPr>
          <w:rFonts w:eastAsia="MS Mincho"/>
          <w:iCs/>
          <w:color w:val="000000" w:themeColor="text1"/>
          <w:sz w:val="24"/>
          <w:lang w:val="es-CR" w:eastAsia="es-ES"/>
        </w:rPr>
        <w:t xml:space="preserve">El Inciso d) del Artículo 133 de la “Ley Orgánica del Banco Central de Costa Rica”, </w:t>
      </w:r>
      <w:r w:rsidRPr="00F24E05" w:rsidR="006C2CE4">
        <w:rPr>
          <w:rFonts w:eastAsia="MS Mincho"/>
          <w:iCs/>
          <w:color w:val="000000" w:themeColor="text1"/>
          <w:sz w:val="24"/>
          <w:lang w:val="es-CR" w:eastAsia="es-ES"/>
        </w:rPr>
        <w:t>dispone lo siguiente</w:t>
      </w:r>
      <w:r w:rsidRPr="00F24E05">
        <w:rPr>
          <w:rFonts w:eastAsia="MS Mincho"/>
          <w:iCs/>
          <w:color w:val="000000" w:themeColor="text1"/>
          <w:sz w:val="24"/>
          <w:lang w:val="es-CR" w:eastAsia="es-ES"/>
        </w:rPr>
        <w:t>:</w:t>
      </w:r>
    </w:p>
    <w:p w:rsidRPr="00F24E05" w:rsidR="00786437" w:rsidP="00786437" w:rsidRDefault="00786437" w14:paraId="0707FECD" w14:textId="77777777">
      <w:pPr>
        <w:pStyle w:val="Textoindependiente2"/>
        <w:widowControl w:val="0"/>
        <w:ind w:left="567"/>
        <w:rPr>
          <w:rFonts w:ascii="Cambria" w:hAnsi="Cambria"/>
          <w:szCs w:val="24"/>
          <w:lang w:val="es-CR"/>
        </w:rPr>
      </w:pPr>
    </w:p>
    <w:p w:rsidRPr="00F24E05" w:rsidR="00786437" w:rsidP="006C2CE4" w:rsidRDefault="006C2CE4" w14:paraId="4C122254" w14:textId="055050AE">
      <w:pPr>
        <w:pStyle w:val="Default"/>
        <w:ind w:left="1134" w:right="441"/>
        <w:jc w:val="both"/>
        <w:rPr>
          <w:rFonts w:ascii="Cambria" w:hAnsi="Cambria" w:cs="Arial"/>
          <w:i/>
        </w:rPr>
      </w:pPr>
      <w:r w:rsidRPr="00F24E05">
        <w:rPr>
          <w:rFonts w:ascii="Cambria" w:hAnsi="Cambria" w:cs="Arial"/>
          <w:i/>
        </w:rPr>
        <w:t>“</w:t>
      </w:r>
      <w:r w:rsidRPr="00F24E05" w:rsidR="00786437">
        <w:rPr>
          <w:rFonts w:ascii="Cambria" w:hAnsi="Cambria" w:cs="Arial"/>
          <w:i/>
        </w:rPr>
        <w:t xml:space="preserve">d) Queda prohibido a los funcionarios, empleados y administradores de las entidades fiscalizadas y de la Superintendencia, suministrar a terceros cualquier dato de la información a que se refiere este artículo. </w:t>
      </w:r>
      <w:r w:rsidRPr="00F24E05" w:rsidR="00786437">
        <w:rPr>
          <w:rFonts w:ascii="Cambria" w:hAnsi="Cambria" w:cs="Arial"/>
          <w:i/>
          <w:u w:val="single"/>
        </w:rPr>
        <w:t>Quien violare la prohibición anterior o los funcionarios, empleados y administradores que dolosamente alteren, registren o brinden información falsa o que no conste en los registros o certificaciones de la Superintendencia, serán sancionados con una pena de prisión de tres a seis años</w:t>
      </w:r>
      <w:r w:rsidRPr="00F24E05" w:rsidR="00786437">
        <w:rPr>
          <w:rFonts w:ascii="Cambria" w:hAnsi="Cambria" w:cs="Arial"/>
          <w:i/>
        </w:rPr>
        <w:t xml:space="preserve">, sin perjuicio de la responsabilidad penal establecida anteriormente. El funcionario, empleado o administrador que infrinja lo </w:t>
      </w:r>
      <w:r w:rsidRPr="00F24E05" w:rsidR="00786437">
        <w:rPr>
          <w:rFonts w:ascii="Cambria" w:hAnsi="Cambria" w:cs="Arial"/>
          <w:i/>
        </w:rPr>
        <w:lastRenderedPageBreak/>
        <w:t>señalado en este artículo será destituido de su cargo, sin responsabilidad patronal…” (el subrayado no es del original).</w:t>
      </w:r>
    </w:p>
    <w:p w:rsidRPr="00F24E05" w:rsidR="00786437" w:rsidP="000F20F4" w:rsidRDefault="00786437" w14:paraId="1806797C" w14:textId="77777777">
      <w:pPr>
        <w:spacing w:line="240" w:lineRule="auto"/>
        <w:contextualSpacing/>
        <w:rPr>
          <w:sz w:val="24"/>
          <w:lang w:val="es-CR"/>
        </w:rPr>
      </w:pPr>
    </w:p>
    <w:p w:rsidRPr="00F24E05" w:rsidR="00E87F33" w:rsidP="00E87F33" w:rsidRDefault="00E87F33" w14:paraId="5D88CDDC" w14:textId="77777777">
      <w:pPr>
        <w:spacing w:line="240" w:lineRule="auto"/>
        <w:contextualSpacing/>
        <w:rPr>
          <w:b/>
          <w:sz w:val="24"/>
          <w:lang w:val="es-CR"/>
        </w:rPr>
      </w:pPr>
      <w:r w:rsidRPr="00F24E05">
        <w:rPr>
          <w:b/>
          <w:sz w:val="24"/>
          <w:lang w:val="es-CR"/>
        </w:rPr>
        <w:t>Por lo tanto, dispone:</w:t>
      </w:r>
    </w:p>
    <w:p w:rsidRPr="00F24E05" w:rsidR="00E87F33" w:rsidP="00E87F33" w:rsidRDefault="00E87F33" w14:paraId="644E4750" w14:textId="77777777">
      <w:pPr>
        <w:spacing w:line="240" w:lineRule="auto"/>
        <w:ind w:left="567" w:hanging="567"/>
        <w:outlineLvl w:val="0"/>
        <w:rPr>
          <w:b/>
          <w:sz w:val="24"/>
          <w:lang w:val="es-CR"/>
        </w:rPr>
      </w:pPr>
    </w:p>
    <w:p w:rsidRPr="00F24E05" w:rsidR="00E87F33" w:rsidP="00E87F33" w:rsidRDefault="006C2CE4" w14:paraId="2A12B276" w14:textId="6EB16804">
      <w:pPr>
        <w:pStyle w:val="Textoindependiente2"/>
        <w:widowControl w:val="0"/>
        <w:numPr>
          <w:ilvl w:val="0"/>
          <w:numId w:val="5"/>
        </w:numPr>
        <w:ind w:left="567" w:hanging="567"/>
        <w:rPr>
          <w:rFonts w:ascii="Cambria" w:hAnsi="Cambria"/>
          <w:szCs w:val="24"/>
          <w:lang w:val="es-CR"/>
        </w:rPr>
      </w:pPr>
      <w:r w:rsidRPr="00F24E05">
        <w:rPr>
          <w:rFonts w:ascii="Cambria" w:hAnsi="Cambria"/>
          <w:szCs w:val="24"/>
          <w:lang w:val="es-CR"/>
        </w:rPr>
        <w:t xml:space="preserve">Reiterar a las entidades </w:t>
      </w:r>
      <w:r w:rsidRPr="00F24E05" w:rsidR="0074159E">
        <w:rPr>
          <w:rFonts w:ascii="Cambria" w:hAnsi="Cambria"/>
          <w:szCs w:val="24"/>
          <w:lang w:val="es-CR"/>
        </w:rPr>
        <w:t xml:space="preserve">y oferentes de crédito </w:t>
      </w:r>
      <w:r w:rsidRPr="00F24E05">
        <w:rPr>
          <w:rFonts w:ascii="Cambria" w:hAnsi="Cambria"/>
          <w:szCs w:val="24"/>
          <w:lang w:val="es-CR"/>
        </w:rPr>
        <w:t>su obligación de sustentar de manera diligente las autorizaciones al CIC y al CICOC, de conformidad con la legislación, la reglamentación y las disposiciones emitidas al efecto</w:t>
      </w:r>
      <w:r w:rsidRPr="00F24E05" w:rsidR="00E87F33">
        <w:rPr>
          <w:rFonts w:ascii="Cambria" w:hAnsi="Cambria"/>
          <w:bCs/>
          <w:szCs w:val="24"/>
          <w:lang w:val="es-CR"/>
        </w:rPr>
        <w:t>.</w:t>
      </w:r>
      <w:r w:rsidRPr="00F24E05" w:rsidR="006E027F">
        <w:rPr>
          <w:rFonts w:ascii="Cambria" w:hAnsi="Cambria"/>
          <w:bCs/>
          <w:szCs w:val="24"/>
          <w:lang w:val="es-CR"/>
        </w:rPr>
        <w:t xml:space="preserve"> Asimismo, instar a las entidades supervisadas a gestionar apropiadamente los riesgos de tipo legal en que puedan incurrir por acceder a información crediticia que consta en las bases de datos de a SUGEF, mediante solicitudes de autorización incompletas o con errores. </w:t>
      </w:r>
    </w:p>
    <w:p w:rsidRPr="00F24E05" w:rsidR="00E87F33" w:rsidP="00AE11D1" w:rsidRDefault="00E87F33" w14:paraId="2A553003" w14:textId="77777777">
      <w:pPr>
        <w:pStyle w:val="Textoindependiente2"/>
        <w:widowControl w:val="0"/>
        <w:rPr>
          <w:rFonts w:ascii="Cambria" w:hAnsi="Cambria"/>
          <w:szCs w:val="24"/>
          <w:lang w:val="es-CR"/>
        </w:rPr>
      </w:pPr>
    </w:p>
    <w:p w:rsidRPr="00F24E05" w:rsidR="0074159E" w:rsidP="0074159E" w:rsidRDefault="006E027F" w14:paraId="1E9F85B9" w14:textId="7C4F1209">
      <w:pPr>
        <w:pStyle w:val="Textoindependiente2"/>
        <w:widowControl w:val="0"/>
        <w:numPr>
          <w:ilvl w:val="0"/>
          <w:numId w:val="5"/>
        </w:numPr>
        <w:ind w:left="567" w:hanging="567"/>
        <w:rPr>
          <w:rFonts w:ascii="Cambria" w:hAnsi="Cambria"/>
          <w:szCs w:val="24"/>
          <w:lang w:val="es-CR"/>
        </w:rPr>
      </w:pPr>
      <w:r w:rsidRPr="00F24E05">
        <w:rPr>
          <w:rFonts w:ascii="Cambria" w:hAnsi="Cambria"/>
          <w:bCs/>
          <w:szCs w:val="24"/>
          <w:lang w:val="es-CR"/>
        </w:rPr>
        <w:t>La SUGEF c</w:t>
      </w:r>
      <w:r w:rsidRPr="00F24E05" w:rsidR="006C2CE4">
        <w:rPr>
          <w:rFonts w:ascii="Cambria" w:hAnsi="Cambria"/>
          <w:bCs/>
          <w:szCs w:val="24"/>
          <w:lang w:val="es-CR"/>
        </w:rPr>
        <w:t>omunicar</w:t>
      </w:r>
      <w:r w:rsidRPr="00F24E05">
        <w:rPr>
          <w:rFonts w:ascii="Cambria" w:hAnsi="Cambria"/>
          <w:bCs/>
          <w:szCs w:val="24"/>
          <w:lang w:val="es-CR"/>
        </w:rPr>
        <w:t>á</w:t>
      </w:r>
      <w:r w:rsidRPr="00F24E05" w:rsidR="006C2CE4">
        <w:rPr>
          <w:rFonts w:ascii="Cambria" w:hAnsi="Cambria"/>
          <w:bCs/>
          <w:szCs w:val="24"/>
          <w:lang w:val="es-CR"/>
        </w:rPr>
        <w:t xml:space="preserve"> </w:t>
      </w:r>
      <w:r w:rsidRPr="00F24E05">
        <w:rPr>
          <w:rFonts w:ascii="Cambria" w:hAnsi="Cambria"/>
          <w:bCs/>
          <w:szCs w:val="24"/>
          <w:lang w:val="es-CR"/>
        </w:rPr>
        <w:t xml:space="preserve">de manera individualizada </w:t>
      </w:r>
      <w:r w:rsidRPr="00F24E05" w:rsidR="0074159E">
        <w:rPr>
          <w:rFonts w:ascii="Cambria" w:hAnsi="Cambria"/>
          <w:bCs/>
          <w:szCs w:val="24"/>
          <w:lang w:val="es-CR"/>
        </w:rPr>
        <w:t>a las entidades y oferentes de crédito que corresponda</w:t>
      </w:r>
      <w:r w:rsidRPr="00F24E05">
        <w:rPr>
          <w:rFonts w:ascii="Cambria" w:hAnsi="Cambria"/>
          <w:bCs/>
          <w:szCs w:val="24"/>
          <w:lang w:val="es-CR"/>
        </w:rPr>
        <w:t>,</w:t>
      </w:r>
      <w:r w:rsidRPr="00F24E05" w:rsidR="0074159E">
        <w:rPr>
          <w:rFonts w:ascii="Cambria" w:hAnsi="Cambria"/>
          <w:bCs/>
          <w:szCs w:val="24"/>
          <w:lang w:val="es-CR"/>
        </w:rPr>
        <w:t xml:space="preserve"> </w:t>
      </w:r>
      <w:r w:rsidRPr="00F24E05" w:rsidR="006C2CE4">
        <w:rPr>
          <w:rFonts w:ascii="Cambria" w:hAnsi="Cambria"/>
          <w:bCs/>
          <w:szCs w:val="24"/>
          <w:lang w:val="es-CR"/>
        </w:rPr>
        <w:t xml:space="preserve">los resultados de </w:t>
      </w:r>
      <w:r w:rsidRPr="00F24E05">
        <w:rPr>
          <w:rFonts w:ascii="Cambria" w:hAnsi="Cambria"/>
          <w:bCs/>
          <w:szCs w:val="24"/>
          <w:lang w:val="es-CR"/>
        </w:rPr>
        <w:t xml:space="preserve">las </w:t>
      </w:r>
      <w:r w:rsidRPr="00F24E05" w:rsidR="006C2CE4">
        <w:rPr>
          <w:rFonts w:ascii="Cambria" w:hAnsi="Cambria"/>
          <w:bCs/>
          <w:szCs w:val="24"/>
          <w:lang w:val="es-CR"/>
        </w:rPr>
        <w:t>revisiones</w:t>
      </w:r>
      <w:r w:rsidRPr="00F24E05">
        <w:rPr>
          <w:rFonts w:ascii="Cambria" w:hAnsi="Cambria"/>
          <w:bCs/>
          <w:szCs w:val="24"/>
          <w:lang w:val="es-CR"/>
        </w:rPr>
        <w:t xml:space="preserve"> efectuadas</w:t>
      </w:r>
      <w:r w:rsidRPr="00F24E05" w:rsidR="006C2CE4">
        <w:rPr>
          <w:rFonts w:ascii="Cambria" w:hAnsi="Cambria"/>
          <w:bCs/>
          <w:szCs w:val="24"/>
          <w:lang w:val="es-CR"/>
        </w:rPr>
        <w:t xml:space="preserve">, </w:t>
      </w:r>
      <w:r w:rsidRPr="00F24E05" w:rsidR="0074159E">
        <w:rPr>
          <w:rFonts w:ascii="Cambria" w:hAnsi="Cambria"/>
          <w:bCs/>
          <w:szCs w:val="24"/>
          <w:lang w:val="es-CR"/>
        </w:rPr>
        <w:t>y solicitará las</w:t>
      </w:r>
      <w:r w:rsidRPr="00F24E05" w:rsidR="00AE11D1">
        <w:rPr>
          <w:rFonts w:ascii="Cambria" w:hAnsi="Cambria"/>
          <w:bCs/>
          <w:szCs w:val="24"/>
          <w:lang w:val="es-CR"/>
        </w:rPr>
        <w:t xml:space="preserve"> </w:t>
      </w:r>
      <w:r w:rsidRPr="00F24E05" w:rsidR="00E87F33">
        <w:rPr>
          <w:rFonts w:ascii="Cambria" w:hAnsi="Cambria"/>
          <w:bCs/>
          <w:szCs w:val="24"/>
          <w:lang w:val="es-CR"/>
        </w:rPr>
        <w:t xml:space="preserve">explicaciones </w:t>
      </w:r>
      <w:r w:rsidRPr="00F24E05" w:rsidR="0074159E">
        <w:rPr>
          <w:rFonts w:ascii="Cambria" w:hAnsi="Cambria"/>
          <w:bCs/>
          <w:szCs w:val="24"/>
          <w:lang w:val="es-CR"/>
        </w:rPr>
        <w:t>que amerita el debido proceso.</w:t>
      </w:r>
    </w:p>
    <w:p w:rsidRPr="00F24E05" w:rsidR="00E87F33" w:rsidP="00AE11D1" w:rsidRDefault="00E87F33" w14:paraId="554D19EC" w14:textId="77777777">
      <w:pPr>
        <w:pStyle w:val="Textoindependiente2"/>
        <w:widowControl w:val="0"/>
        <w:rPr>
          <w:rFonts w:ascii="Cambria" w:hAnsi="Cambria"/>
          <w:szCs w:val="24"/>
          <w:lang w:val="es-CR"/>
        </w:rPr>
      </w:pPr>
    </w:p>
    <w:p w:rsidRPr="00F24E05" w:rsidR="00E87F33" w:rsidP="00E87F33" w:rsidRDefault="006E027F" w14:paraId="6771CDF0" w14:textId="0F02E1F7">
      <w:pPr>
        <w:pStyle w:val="Textoindependiente2"/>
        <w:widowControl w:val="0"/>
        <w:numPr>
          <w:ilvl w:val="0"/>
          <w:numId w:val="5"/>
        </w:numPr>
        <w:ind w:left="567" w:hanging="567"/>
        <w:rPr>
          <w:rFonts w:ascii="Cambria" w:hAnsi="Cambria"/>
          <w:szCs w:val="24"/>
          <w:lang w:val="es-CR"/>
        </w:rPr>
      </w:pPr>
      <w:r w:rsidRPr="00F24E05">
        <w:rPr>
          <w:rFonts w:ascii="Cambria" w:hAnsi="Cambria"/>
          <w:szCs w:val="24"/>
          <w:lang w:val="es-CR"/>
        </w:rPr>
        <w:t>La SUGEF r</w:t>
      </w:r>
      <w:r w:rsidRPr="00F24E05" w:rsidR="0074159E">
        <w:rPr>
          <w:rFonts w:ascii="Cambria" w:hAnsi="Cambria"/>
          <w:szCs w:val="24"/>
          <w:lang w:val="es-CR"/>
        </w:rPr>
        <w:t>eforzar</w:t>
      </w:r>
      <w:r w:rsidRPr="00F24E05">
        <w:rPr>
          <w:rFonts w:ascii="Cambria" w:hAnsi="Cambria"/>
          <w:szCs w:val="24"/>
          <w:lang w:val="es-CR"/>
        </w:rPr>
        <w:t>á</w:t>
      </w:r>
      <w:r w:rsidRPr="00F24E05" w:rsidR="0074159E">
        <w:rPr>
          <w:rFonts w:ascii="Cambria" w:hAnsi="Cambria"/>
          <w:szCs w:val="24"/>
          <w:lang w:val="es-CR"/>
        </w:rPr>
        <w:t xml:space="preserve"> la debida diligencia en el proceso de autorización del CIC y el CICOC con apoyo en tecnología, lo cual se llevará a cabo mediante una reforma a la regulación vigente que será oportunamente de conocimiento mediante los procesos de consulta regulatoria.</w:t>
      </w:r>
      <w:bookmarkStart w:name="_GoBack" w:id="0"/>
      <w:bookmarkEnd w:id="0"/>
    </w:p>
    <w:p w:rsidRPr="00F24E05" w:rsidR="00E87F33" w:rsidP="00E87F33" w:rsidRDefault="00E87F33" w14:paraId="13F661DB" w14:textId="77777777">
      <w:pPr>
        <w:pStyle w:val="Textoindependiente2"/>
        <w:widowControl w:val="0"/>
        <w:rPr>
          <w:rFonts w:ascii="Cambria" w:hAnsi="Cambria"/>
          <w:szCs w:val="24"/>
          <w:lang w:val="es-CR"/>
        </w:rPr>
      </w:pPr>
    </w:p>
    <w:p w:rsidRPr="00F24E05" w:rsidR="006972C9" w:rsidP="00E87F33" w:rsidRDefault="006972C9" w14:paraId="17AD39D1" w14:textId="0A840F2A">
      <w:pPr>
        <w:pStyle w:val="Texto"/>
        <w:spacing w:before="0" w:after="0" w:line="240" w:lineRule="auto"/>
        <w:rPr>
          <w:sz w:val="24"/>
        </w:rPr>
      </w:pPr>
      <w:r w:rsidRPr="00F24E05">
        <w:rPr>
          <w:sz w:val="24"/>
        </w:rPr>
        <w:t>Atentamente,</w:t>
      </w:r>
    </w:p>
    <w:p w:rsidRPr="00F24E05" w:rsidR="00AE11D1" w:rsidP="00E87F33" w:rsidRDefault="00AE11D1" w14:paraId="7D1FF53D" w14:textId="0B553830">
      <w:pPr>
        <w:pStyle w:val="Texto"/>
        <w:spacing w:before="0" w:after="0" w:line="240" w:lineRule="auto"/>
        <w:rPr>
          <w:sz w:val="24"/>
        </w:rPr>
      </w:pPr>
      <w:r w:rsidRPr="00F24E05">
        <w:rPr>
          <w:noProof/>
          <w:sz w:val="24"/>
          <w:lang w:val="es-CR" w:eastAsia="es-CR"/>
        </w:rPr>
        <w:drawing>
          <wp:anchor distT="0" distB="0" distL="114300" distR="114300" simplePos="0" relativeHeight="251659264" behindDoc="1" locked="0" layoutInCell="1" allowOverlap="1" wp14:editId="28A2C856" wp14:anchorId="5BF5AF07">
            <wp:simplePos x="0" y="0"/>
            <wp:positionH relativeFrom="column">
              <wp:posOffset>-167640</wp:posOffset>
            </wp:positionH>
            <wp:positionV relativeFrom="paragraph">
              <wp:posOffset>37465</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Pr="00F24E05" w:rsidR="006972C9" w:rsidP="006972C9" w:rsidRDefault="006972C9" w14:paraId="6B8FB23B" w14:textId="1D398E55">
      <w:pPr>
        <w:spacing w:line="240" w:lineRule="auto"/>
        <w:rPr>
          <w:sz w:val="24"/>
        </w:rPr>
      </w:pPr>
    </w:p>
    <w:p w:rsidRPr="00F24E05" w:rsidR="006972C9" w:rsidP="00025A68" w:rsidRDefault="0073111B" w14:paraId="02B58131" w14:textId="468591B3">
      <w:pPr>
        <w:jc w:val="left"/>
        <w:rPr>
          <w:sz w:val="24"/>
        </w:rPr>
      </w:pPr>
      <w:r w:rsidRPr="00F24E05">
        <w:rPr>
          <w:sz w:val="24"/>
        </w:rPr>
        <w:t>José Armando Fallas Martínez</w:t>
      </w:r>
      <w:r w:rsidRPr="00F24E05" w:rsidR="00025A68">
        <w:rPr>
          <w:sz w:val="24"/>
        </w:rPr>
        <w:br/>
      </w:r>
      <w:r w:rsidRPr="00F24E05">
        <w:rPr>
          <w:b/>
          <w:bCs/>
          <w:sz w:val="24"/>
        </w:rPr>
        <w:t>I</w:t>
      </w:r>
      <w:r w:rsidRPr="00F24E05" w:rsidR="00025A68">
        <w:rPr>
          <w:b/>
          <w:bCs/>
          <w:sz w:val="24"/>
        </w:rPr>
        <w:t>ntendente General</w:t>
      </w:r>
      <w:r w:rsidRPr="00F24E05" w:rsidR="006972C9">
        <w:rPr>
          <w:noProof/>
          <w:sz w:val="24"/>
          <w:lang w:val="es-CR" w:eastAsia="es-CR"/>
        </w:rPr>
        <w:t xml:space="preserve"> </w:t>
      </w:r>
    </w:p>
    <w:p w:rsidRPr="00F24E05" w:rsidR="006972C9" w:rsidP="006972C9" w:rsidRDefault="006972C9" w14:paraId="073A1FA9" w14:textId="17329A46">
      <w:pPr>
        <w:pStyle w:val="Negrita"/>
        <w:rPr>
          <w:sz w:val="24"/>
        </w:rPr>
      </w:pPr>
    </w:p>
    <w:p w:rsidRPr="00F24E05" w:rsidR="00F81ED5" w:rsidP="00F81ED5" w:rsidRDefault="00F81ED5" w14:paraId="533DFEE0" w14:textId="77777777">
      <w:pPr>
        <w:pStyle w:val="Negrita"/>
        <w:spacing w:line="240" w:lineRule="auto"/>
        <w:rPr>
          <w:sz w:val="24"/>
          <w:lang w:val="es-CR"/>
        </w:rPr>
      </w:pPr>
      <w:r w:rsidRPr="00F24E05">
        <w:rPr>
          <w:sz w:val="24"/>
          <w:lang w:val="es-CR"/>
        </w:rPr>
        <w:t>JSC/EAMS/EJG/</w:t>
      </w:r>
      <w:proofErr w:type="spellStart"/>
      <w:r w:rsidRPr="00F24E05">
        <w:rPr>
          <w:sz w:val="24"/>
          <w:lang w:val="es-CR"/>
        </w:rPr>
        <w:t>gvl</w:t>
      </w:r>
      <w:proofErr w:type="spellEnd"/>
      <w:r w:rsidRPr="00F24E05">
        <w:rPr>
          <w:sz w:val="24"/>
          <w:lang w:val="es-CR"/>
        </w:rPr>
        <w:t>*</w:t>
      </w:r>
    </w:p>
    <w:p w:rsidRPr="00F24E05" w:rsidR="00AE11D1" w:rsidP="006C52C7" w:rsidRDefault="00AE11D1" w14:paraId="0D5012E7" w14:textId="77777777">
      <w:pPr>
        <w:autoSpaceDE w:val="0"/>
        <w:autoSpaceDN w:val="0"/>
        <w:adjustRightInd w:val="0"/>
        <w:spacing w:line="240" w:lineRule="auto"/>
        <w:jc w:val="left"/>
        <w:rPr>
          <w:rFonts w:cs="Cambria" w:eastAsiaTheme="minorHAnsi"/>
          <w:b/>
          <w:bCs/>
          <w:color w:val="000000"/>
          <w:sz w:val="24"/>
          <w:lang w:val="es-CR"/>
        </w:rPr>
      </w:pPr>
    </w:p>
    <w:p w:rsidRPr="00F24E05" w:rsidR="006C52C7" w:rsidP="00AE11D1" w:rsidRDefault="006C52C7" w14:paraId="66F005E4" w14:textId="076A9D31">
      <w:pPr>
        <w:autoSpaceDE w:val="0"/>
        <w:autoSpaceDN w:val="0"/>
        <w:adjustRightInd w:val="0"/>
        <w:spacing w:line="240" w:lineRule="auto"/>
        <w:ind w:left="2268" w:hanging="2268"/>
        <w:jc w:val="left"/>
        <w:rPr>
          <w:rFonts w:cs="Cambria" w:eastAsiaTheme="minorHAnsi"/>
          <w:color w:val="000000"/>
          <w:sz w:val="24"/>
          <w:lang w:val="es-CR"/>
        </w:rPr>
      </w:pPr>
      <w:r w:rsidRPr="00F24E05">
        <w:rPr>
          <w:rFonts w:cs="Cambria" w:eastAsiaTheme="minorHAnsi"/>
          <w:b/>
          <w:bCs/>
          <w:color w:val="000000"/>
          <w:sz w:val="24"/>
          <w:lang w:val="es-CR"/>
        </w:rPr>
        <w:t>Unidad generadora:</w:t>
      </w:r>
      <w:r w:rsidRPr="00F24E05" w:rsidR="00AE11D1">
        <w:rPr>
          <w:rFonts w:cs="Cambria" w:eastAsiaTheme="minorHAnsi"/>
          <w:b/>
          <w:bCs/>
          <w:color w:val="000000"/>
          <w:sz w:val="24"/>
          <w:lang w:val="es-CR"/>
        </w:rPr>
        <w:tab/>
      </w:r>
      <w:r w:rsidRPr="00F24E05">
        <w:rPr>
          <w:rFonts w:cs="Cambria" w:eastAsiaTheme="minorHAnsi"/>
          <w:color w:val="000000"/>
          <w:sz w:val="24"/>
          <w:lang w:val="es-CR"/>
        </w:rPr>
        <w:t xml:space="preserve">Departamento de Información Crediticia, Dirección General de Servicios Técnicos. </w:t>
      </w:r>
    </w:p>
    <w:p w:rsidRPr="00F24E05" w:rsidR="006972C9" w:rsidP="00AE11D1" w:rsidRDefault="006C52C7" w14:paraId="3C5195D7" w14:textId="217216BE">
      <w:pPr>
        <w:ind w:left="2268" w:hanging="2268"/>
        <w:rPr>
          <w:sz w:val="24"/>
        </w:rPr>
      </w:pPr>
      <w:r w:rsidRPr="00F24E05">
        <w:rPr>
          <w:rFonts w:cs="Cambria" w:eastAsiaTheme="minorHAnsi"/>
          <w:b/>
          <w:bCs/>
          <w:color w:val="000000"/>
          <w:sz w:val="24"/>
          <w:lang w:val="es-CR"/>
        </w:rPr>
        <w:t>Categoría:</w:t>
      </w:r>
      <w:r w:rsidRPr="00F24E05" w:rsidR="00AE11D1">
        <w:rPr>
          <w:rFonts w:cs="Cambria" w:eastAsiaTheme="minorHAnsi"/>
          <w:b/>
          <w:bCs/>
          <w:color w:val="000000"/>
          <w:sz w:val="24"/>
          <w:lang w:val="es-CR"/>
        </w:rPr>
        <w:tab/>
      </w:r>
      <w:r w:rsidRPr="00F24E05">
        <w:rPr>
          <w:rFonts w:cs="Cambria" w:eastAsiaTheme="minorHAnsi"/>
          <w:color w:val="000000"/>
          <w:sz w:val="24"/>
          <w:lang w:val="es-CR"/>
        </w:rPr>
        <w:t>Comunicado</w:t>
      </w:r>
    </w:p>
    <w:p w:rsidRPr="00F24E05" w:rsidR="00AE11D1" w:rsidRDefault="00AE11D1" w14:paraId="37DA4277" w14:textId="77777777">
      <w:pPr>
        <w:spacing w:after="160" w:line="259" w:lineRule="auto"/>
        <w:jc w:val="left"/>
        <w:rPr>
          <w:sz w:val="24"/>
        </w:rPr>
      </w:pPr>
    </w:p>
    <w:p w:rsidRPr="00F24E05" w:rsidR="00AE11D1" w:rsidRDefault="00AE11D1" w14:paraId="1728FD72" w14:textId="08B58C76">
      <w:pPr>
        <w:spacing w:after="160" w:line="259" w:lineRule="auto"/>
        <w:jc w:val="left"/>
        <w:rPr>
          <w:sz w:val="24"/>
        </w:rPr>
      </w:pPr>
      <w:r w:rsidRPr="00F24E05">
        <w:rPr>
          <w:sz w:val="24"/>
        </w:rPr>
        <w:br w:type="page"/>
      </w:r>
    </w:p>
    <w:p w:rsidR="00AE11D1" w:rsidP="006972C9" w:rsidRDefault="00AE11D1" w14:paraId="5261B04E" w14:textId="77777777">
      <w:pPr>
        <w:tabs>
          <w:tab w:val="left" w:pos="7187"/>
        </w:tabs>
        <w:rPr>
          <w:sz w:val="24"/>
        </w:rPr>
      </w:pPr>
    </w:p>
    <w:tbl>
      <w:tblPr>
        <w:tblStyle w:val="Tablaconcuadrcula"/>
        <w:tblW w:w="0" w:type="auto"/>
        <w:tblLook w:val="04A0" w:firstRow="1" w:lastRow="0" w:firstColumn="1" w:lastColumn="0" w:noHBand="0" w:noVBand="1"/>
      </w:tblPr>
      <w:tblGrid>
        <w:gridCol w:w="4379"/>
        <w:gridCol w:w="4449"/>
      </w:tblGrid>
      <w:tr w:rsidRPr="00AE11D1" w:rsidR="00AE11D1" w:rsidTr="00AE11D1" w14:paraId="763D4E6F" w14:textId="77777777">
        <w:tc>
          <w:tcPr>
            <w:tcW w:w="5035" w:type="dxa"/>
          </w:tcPr>
          <w:p w:rsidRPr="00AE11D1" w:rsidR="00AE11D1" w:rsidP="00AE11D1" w:rsidRDefault="00AE11D1" w14:paraId="4693EAF1" w14:textId="107EE563">
            <w:pPr>
              <w:tabs>
                <w:tab w:val="left" w:pos="7187"/>
              </w:tabs>
              <w:jc w:val="center"/>
              <w:rPr>
                <w:b/>
                <w:bCs/>
                <w:sz w:val="24"/>
              </w:rPr>
            </w:pPr>
            <w:r w:rsidRPr="00AE11D1">
              <w:rPr>
                <w:b/>
                <w:bCs/>
                <w:sz w:val="24"/>
              </w:rPr>
              <w:t>Asunto</w:t>
            </w:r>
          </w:p>
        </w:tc>
        <w:tc>
          <w:tcPr>
            <w:tcW w:w="5035" w:type="dxa"/>
          </w:tcPr>
          <w:p w:rsidRPr="00AE11D1" w:rsidR="00AE11D1" w:rsidP="00AE11D1" w:rsidRDefault="00AE11D1" w14:paraId="33A9054E" w14:textId="77711AA1">
            <w:pPr>
              <w:tabs>
                <w:tab w:val="left" w:pos="7187"/>
              </w:tabs>
              <w:jc w:val="center"/>
              <w:rPr>
                <w:b/>
                <w:bCs/>
                <w:sz w:val="24"/>
              </w:rPr>
            </w:pPr>
            <w:r w:rsidRPr="00AE11D1">
              <w:rPr>
                <w:b/>
                <w:bCs/>
                <w:sz w:val="24"/>
              </w:rPr>
              <w:t>Documento</w:t>
            </w:r>
          </w:p>
        </w:tc>
      </w:tr>
      <w:tr w:rsidR="00AE11D1" w:rsidTr="00AE11D1" w14:paraId="14F788D8" w14:textId="77777777">
        <w:tc>
          <w:tcPr>
            <w:tcW w:w="5035" w:type="dxa"/>
          </w:tcPr>
          <w:p w:rsidR="00AE11D1" w:rsidP="006972C9" w:rsidRDefault="00AE11D1" w14:paraId="7E10D56B" w14:textId="24C820A1">
            <w:pPr>
              <w:tabs>
                <w:tab w:val="left" w:pos="7187"/>
              </w:tabs>
              <w:rPr>
                <w:sz w:val="24"/>
              </w:rPr>
            </w:pPr>
            <w:r>
              <w:rPr>
                <w:sz w:val="24"/>
              </w:rPr>
              <w:t>Circular Externa SGF-3888-2018</w:t>
            </w:r>
          </w:p>
        </w:tc>
        <w:tc>
          <w:tcPr>
            <w:tcW w:w="5035" w:type="dxa"/>
          </w:tcPr>
          <w:p w:rsidR="00AE11D1" w:rsidP="006972C9" w:rsidRDefault="00AE11D1" w14:paraId="66D859BD" w14:textId="0344AE87">
            <w:pPr>
              <w:tabs>
                <w:tab w:val="left" w:pos="7187"/>
              </w:tabs>
              <w:rPr>
                <w:sz w:val="24"/>
              </w:rPr>
            </w:pPr>
            <w:r w:rsidRPr="00AE11D1">
              <w:rPr>
                <w:sz w:val="24"/>
              </w:rPr>
              <w:object w:dxaOrig="1533" w:dyaOrig="990" w14:anchorId="4A6441F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50.25pt" o:ole="" type="#_x0000_t75">
                  <v:imagedata o:title="" r:id="rId13"/>
                </v:shape>
                <o:OLEObject Type="Embed" ProgID="AcroExch.Document.DC" ShapeID="_x0000_i1025" DrawAspect="Icon" ObjectID="_1685883774" r:id="rId14"/>
              </w:object>
            </w:r>
          </w:p>
        </w:tc>
      </w:tr>
      <w:tr w:rsidR="00AE11D1" w:rsidTr="00AE11D1" w14:paraId="6A4DAC04" w14:textId="77777777">
        <w:tc>
          <w:tcPr>
            <w:tcW w:w="5035" w:type="dxa"/>
          </w:tcPr>
          <w:p w:rsidR="00AE11D1" w:rsidP="006972C9" w:rsidRDefault="00AE11D1" w14:paraId="6FC668D2" w14:textId="23E73632">
            <w:pPr>
              <w:tabs>
                <w:tab w:val="left" w:pos="7187"/>
              </w:tabs>
              <w:rPr>
                <w:sz w:val="24"/>
              </w:rPr>
            </w:pPr>
            <w:r>
              <w:rPr>
                <w:sz w:val="24"/>
              </w:rPr>
              <w:t>Circular Externa SGF-4101-2020</w:t>
            </w:r>
          </w:p>
        </w:tc>
        <w:bookmarkStart w:name="_MON_1681023677" w:id="1"/>
        <w:bookmarkEnd w:id="1"/>
        <w:tc>
          <w:tcPr>
            <w:tcW w:w="5035" w:type="dxa"/>
          </w:tcPr>
          <w:p w:rsidRPr="00AE11D1" w:rsidR="00AE11D1" w:rsidP="006972C9" w:rsidRDefault="00AE11D1" w14:paraId="29B044D7" w14:textId="52900817">
            <w:pPr>
              <w:tabs>
                <w:tab w:val="left" w:pos="7187"/>
              </w:tabs>
              <w:rPr>
                <w:sz w:val="24"/>
              </w:rPr>
            </w:pPr>
            <w:r w:rsidRPr="00AE11D1">
              <w:rPr>
                <w:sz w:val="24"/>
                <w:lang w:val="es-CR"/>
              </w:rPr>
              <w:object w:dxaOrig="1533" w:dyaOrig="990" w14:anchorId="49984EC1">
                <v:shape id="_x0000_i1026" style="width:76.5pt;height:50.25pt" o:ole="" type="#_x0000_t75">
                  <v:imagedata o:title="" r:id="rId15"/>
                </v:shape>
                <o:OLEObject Type="Embed" ProgID="Word.Document.12" ShapeID="_x0000_i1026" DrawAspect="Icon" ObjectID="_1685883775" r:id="rId16">
                  <o:FieldCodes>\s</o:FieldCodes>
                </o:OLEObject>
              </w:object>
            </w:r>
          </w:p>
        </w:tc>
      </w:tr>
      <w:tr w:rsidR="00AE11D1" w:rsidTr="00AE11D1" w14:paraId="3EAB2D71" w14:textId="77777777">
        <w:tc>
          <w:tcPr>
            <w:tcW w:w="5035" w:type="dxa"/>
          </w:tcPr>
          <w:p w:rsidR="00AE11D1" w:rsidP="006972C9" w:rsidRDefault="00AE11D1" w14:paraId="516A312D" w14:textId="478C3710">
            <w:pPr>
              <w:tabs>
                <w:tab w:val="left" w:pos="7187"/>
              </w:tabs>
              <w:rPr>
                <w:sz w:val="24"/>
              </w:rPr>
            </w:pPr>
            <w:r>
              <w:rPr>
                <w:sz w:val="24"/>
              </w:rPr>
              <w:t>Resolución SGF-2410-2020</w:t>
            </w:r>
          </w:p>
        </w:tc>
        <w:bookmarkStart w:name="_MON_1684672862" w:id="2"/>
        <w:bookmarkEnd w:id="2"/>
        <w:tc>
          <w:tcPr>
            <w:tcW w:w="5035" w:type="dxa"/>
          </w:tcPr>
          <w:p w:rsidRPr="00AE11D1" w:rsidR="00AE11D1" w:rsidP="006972C9" w:rsidRDefault="00AE11D1" w14:paraId="71ED7B96" w14:textId="7EE6D592">
            <w:pPr>
              <w:tabs>
                <w:tab w:val="left" w:pos="7187"/>
              </w:tabs>
              <w:rPr>
                <w:sz w:val="24"/>
                <w:lang w:val="es-CR"/>
              </w:rPr>
            </w:pPr>
            <w:r w:rsidRPr="00AE11D1">
              <w:rPr>
                <w:sz w:val="24"/>
                <w:lang w:val="es-CR"/>
              </w:rPr>
              <w:object w:dxaOrig="1533" w:dyaOrig="990" w14:anchorId="7A9345B9">
                <v:shape id="_x0000_i1027" style="width:76.5pt;height:50.25pt" o:ole="" type="#_x0000_t75">
                  <v:imagedata o:title="" r:id="rId17"/>
                </v:shape>
                <o:OLEObject Type="Embed" ProgID="Word.Document.12" ShapeID="_x0000_i1027" DrawAspect="Icon" ObjectID="_1685883776" r:id="rId18">
                  <o:FieldCodes>\s</o:FieldCodes>
                </o:OLEObject>
              </w:object>
            </w:r>
          </w:p>
        </w:tc>
      </w:tr>
      <w:tr w:rsidR="00AE11D1" w:rsidTr="00AE11D1" w14:paraId="27201F5E" w14:textId="77777777">
        <w:tc>
          <w:tcPr>
            <w:tcW w:w="5035" w:type="dxa"/>
          </w:tcPr>
          <w:p w:rsidR="00AE11D1" w:rsidP="006972C9" w:rsidRDefault="00AE11D1" w14:paraId="4AC9C5CF" w14:textId="68844A02">
            <w:pPr>
              <w:tabs>
                <w:tab w:val="left" w:pos="7187"/>
              </w:tabs>
              <w:rPr>
                <w:sz w:val="24"/>
              </w:rPr>
            </w:pPr>
            <w:r>
              <w:rPr>
                <w:sz w:val="24"/>
              </w:rPr>
              <w:t>Resolución SGF-2712-2020</w:t>
            </w:r>
          </w:p>
        </w:tc>
        <w:bookmarkStart w:name="_MON_1681023883" w:id="3"/>
        <w:bookmarkEnd w:id="3"/>
        <w:tc>
          <w:tcPr>
            <w:tcW w:w="5035" w:type="dxa"/>
          </w:tcPr>
          <w:p w:rsidRPr="00AE11D1" w:rsidR="00AE11D1" w:rsidP="006972C9" w:rsidRDefault="00AE11D1" w14:paraId="39B6712A" w14:textId="5090D8B2">
            <w:pPr>
              <w:tabs>
                <w:tab w:val="left" w:pos="7187"/>
              </w:tabs>
              <w:rPr>
                <w:sz w:val="24"/>
                <w:lang w:val="es-CR"/>
              </w:rPr>
            </w:pPr>
            <w:r w:rsidRPr="00AE11D1">
              <w:rPr>
                <w:sz w:val="24"/>
                <w:lang w:val="es-CR"/>
              </w:rPr>
              <w:object w:dxaOrig="1533" w:dyaOrig="990" w14:anchorId="3A89B927">
                <v:shape id="_x0000_i1028" style="width:76.5pt;height:50.25pt" o:ole="" type="#_x0000_t75">
                  <v:imagedata o:title="" r:id="rId19"/>
                </v:shape>
                <o:OLEObject Type="Embed" ProgID="Word.Document.12" ShapeID="_x0000_i1028" DrawAspect="Icon" ObjectID="_1685883777" r:id="rId20">
                  <o:FieldCodes>\s</o:FieldCodes>
                </o:OLEObject>
              </w:object>
            </w:r>
          </w:p>
        </w:tc>
      </w:tr>
    </w:tbl>
    <w:p w:rsidR="00AE11D1" w:rsidP="006972C9" w:rsidRDefault="00AE11D1" w14:paraId="18AD86B7" w14:textId="77777777">
      <w:pPr>
        <w:tabs>
          <w:tab w:val="left" w:pos="7187"/>
        </w:tabs>
        <w:rPr>
          <w:sz w:val="24"/>
        </w:rPr>
      </w:pPr>
    </w:p>
    <w:sectPr w:rsidR="00AE11D1" w:rsidSect="00B51662">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34143" w14:textId="77777777" w:rsidR="0095738D" w:rsidRDefault="0095738D" w:rsidP="009349F3">
      <w:pPr>
        <w:spacing w:line="240" w:lineRule="auto"/>
      </w:pPr>
      <w:r>
        <w:separator/>
      </w:r>
    </w:p>
  </w:endnote>
  <w:endnote w:type="continuationSeparator" w:id="0">
    <w:p w14:paraId="3CFFA610" w14:textId="77777777" w:rsidR="0095738D" w:rsidRDefault="0095738D" w:rsidP="00934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29FD8B4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90"/>
      <w:gridCol w:w="2890"/>
      <w:gridCol w:w="1617"/>
      <w:gridCol w:w="1441"/>
    </w:tblGrid>
    <w:tr w:rsidR="00517D62" w:rsidTr="00BA2E27" w14:paraId="57C58489" w14:textId="77777777">
      <w:tc>
        <w:tcPr>
          <w:tcW w:w="2942" w:type="dxa"/>
        </w:tcPr>
        <w:p w:rsidR="00517D62" w:rsidRDefault="00517D62" w14:paraId="30C8FD1B" w14:textId="77777777">
          <w:pPr>
            <w:pStyle w:val="Piedepgina"/>
            <w:rPr>
              <w:b/>
              <w:color w:val="7F7F7F" w:themeColor="text1" w:themeTint="80"/>
              <w:sz w:val="16"/>
              <w:szCs w:val="16"/>
            </w:rPr>
          </w:pPr>
          <w:r w:rsidRPr="009349F3">
            <w:rPr>
              <w:b/>
              <w:color w:val="7F7F7F" w:themeColor="text1" w:themeTint="80"/>
              <w:sz w:val="16"/>
              <w:szCs w:val="16"/>
            </w:rPr>
            <w:t>Teléfono</w:t>
          </w:r>
          <w:r>
            <w:rPr>
              <w:b/>
              <w:color w:val="7F7F7F" w:themeColor="text1" w:themeTint="80"/>
              <w:sz w:val="16"/>
              <w:szCs w:val="16"/>
            </w:rPr>
            <w:t>:</w:t>
          </w:r>
          <w:r w:rsidRPr="009349F3">
            <w:rPr>
              <w:b/>
              <w:color w:val="7F7F7F" w:themeColor="text1" w:themeTint="80"/>
              <w:sz w:val="16"/>
              <w:szCs w:val="16"/>
            </w:rPr>
            <w:t xml:space="preserve"> (506) 2243</w:t>
          </w:r>
          <w:r w:rsidR="00147C4D">
            <w:rPr>
              <w:b/>
              <w:color w:val="7F7F7F" w:themeColor="text1" w:themeTint="80"/>
              <w:sz w:val="16"/>
              <w:szCs w:val="16"/>
            </w:rPr>
            <w:t>-</w:t>
          </w:r>
          <w:r w:rsidRPr="009349F3">
            <w:rPr>
              <w:b/>
              <w:color w:val="7F7F7F" w:themeColor="text1" w:themeTint="80"/>
              <w:sz w:val="16"/>
              <w:szCs w:val="16"/>
            </w:rPr>
            <w:t>4848</w:t>
          </w:r>
        </w:p>
        <w:p w:rsidRPr="009349F3" w:rsidR="00517D62" w:rsidRDefault="00517D62" w14:paraId="29A2C06A" w14:textId="77777777">
          <w:pPr>
            <w:pStyle w:val="Piedepgina"/>
            <w:rPr>
              <w:b/>
              <w:color w:val="7F7F7F" w:themeColor="text1" w:themeTint="80"/>
              <w:sz w:val="16"/>
              <w:szCs w:val="16"/>
            </w:rPr>
          </w:pPr>
          <w:r>
            <w:rPr>
              <w:b/>
              <w:color w:val="7F7F7F" w:themeColor="text1" w:themeTint="80"/>
              <w:sz w:val="16"/>
              <w:szCs w:val="16"/>
            </w:rPr>
            <w:t>Facsímile:</w:t>
          </w:r>
          <w:r w:rsidR="00147C4D">
            <w:rPr>
              <w:b/>
              <w:color w:val="7F7F7F" w:themeColor="text1" w:themeTint="80"/>
              <w:sz w:val="16"/>
              <w:szCs w:val="16"/>
            </w:rPr>
            <w:t xml:space="preserve"> (506) 2243-4849</w:t>
          </w:r>
        </w:p>
        <w:p w:rsidRPr="009349F3" w:rsidR="00517D62" w:rsidRDefault="00517D62" w14:paraId="63BC608C" w14:textId="77777777">
          <w:pPr>
            <w:pStyle w:val="Piedepgina"/>
            <w:rPr>
              <w:b/>
              <w:color w:val="7F7F7F" w:themeColor="text1" w:themeTint="80"/>
              <w:sz w:val="16"/>
              <w:szCs w:val="16"/>
            </w:rPr>
          </w:pPr>
        </w:p>
      </w:tc>
      <w:tc>
        <w:tcPr>
          <w:tcW w:w="2943" w:type="dxa"/>
        </w:tcPr>
        <w:p w:rsidRPr="009349F3" w:rsidR="00517D62" w:rsidP="00855792" w:rsidRDefault="00517D62" w14:paraId="4CD0C3FC" w14:textId="77777777">
          <w:pPr>
            <w:pStyle w:val="Piedepgina"/>
            <w:jc w:val="left"/>
            <w:rPr>
              <w:b/>
              <w:color w:val="7F7F7F" w:themeColor="text1" w:themeTint="80"/>
              <w:sz w:val="16"/>
              <w:szCs w:val="16"/>
            </w:rPr>
          </w:pPr>
          <w:r>
            <w:rPr>
              <w:b/>
              <w:color w:val="7F7F7F" w:themeColor="text1" w:themeTint="80"/>
              <w:sz w:val="16"/>
              <w:szCs w:val="16"/>
            </w:rPr>
            <w:t xml:space="preserve">Apartado: 2762-1000 </w:t>
          </w:r>
          <w:r>
            <w:rPr>
              <w:b/>
              <w:color w:val="7F7F7F" w:themeColor="text1" w:themeTint="80"/>
              <w:sz w:val="16"/>
              <w:szCs w:val="16"/>
            </w:rPr>
            <w:br/>
            <w:t>San José, Costa Rica</w:t>
          </w:r>
        </w:p>
      </w:tc>
      <w:tc>
        <w:tcPr>
          <w:tcW w:w="1471" w:type="dxa"/>
        </w:tcPr>
        <w:p w:rsidRPr="009349F3" w:rsidR="00517D62" w:rsidRDefault="00517D62" w14:paraId="7FFB6E50" w14:textId="77777777">
          <w:pPr>
            <w:pStyle w:val="Piedepgina"/>
            <w:rPr>
              <w:b/>
              <w:color w:val="7F7F7F" w:themeColor="text1" w:themeTint="80"/>
              <w:sz w:val="16"/>
              <w:szCs w:val="16"/>
            </w:rPr>
          </w:pPr>
          <w:r w:rsidRPr="006972C9">
            <w:rPr>
              <w:b/>
              <w:color w:val="7F7F7F" w:themeColor="text1" w:themeTint="80"/>
              <w:sz w:val="16"/>
              <w:szCs w:val="16"/>
            </w:rPr>
            <w:t>www.sugef.fi.cr</w:t>
          </w:r>
          <w:r>
            <w:rPr>
              <w:b/>
              <w:color w:val="7F7F7F" w:themeColor="text1" w:themeTint="80"/>
              <w:sz w:val="16"/>
              <w:szCs w:val="16"/>
            </w:rPr>
            <w:br/>
            <w:t>sugefcr@sugef.fi.cr</w:t>
          </w:r>
        </w:p>
      </w:tc>
      <w:tc>
        <w:tcPr>
          <w:tcW w:w="1472" w:type="dxa"/>
        </w:tcPr>
        <w:p w:rsidRPr="009349F3" w:rsidR="00517D62" w:rsidP="00517D62" w:rsidRDefault="006972C9" w14:paraId="6BC3F61C"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sidR="00147C4D">
            <w:rPr>
              <w:b/>
              <w:noProof/>
              <w:color w:val="7F7F7F" w:themeColor="text1" w:themeTint="80"/>
              <w:sz w:val="16"/>
              <w:szCs w:val="16"/>
            </w:rPr>
            <w:t>1</w:t>
          </w:r>
          <w:r w:rsidRPr="006972C9">
            <w:rPr>
              <w:b/>
              <w:color w:val="7F7F7F" w:themeColor="text1" w:themeTint="80"/>
              <w:sz w:val="16"/>
              <w:szCs w:val="16"/>
            </w:rPr>
            <w:fldChar w:fldCharType="end"/>
          </w:r>
        </w:p>
      </w:tc>
    </w:tr>
  </w:tbl>
  <w:p w:rsidR="009349F3" w:rsidRDefault="009349F3" w14:paraId="4F7A590E"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0E0CAA0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DDB3C" w14:textId="77777777" w:rsidR="0095738D" w:rsidRDefault="0095738D" w:rsidP="009349F3">
      <w:pPr>
        <w:spacing w:line="240" w:lineRule="auto"/>
      </w:pPr>
      <w:r>
        <w:separator/>
      </w:r>
    </w:p>
  </w:footnote>
  <w:footnote w:type="continuationSeparator" w:id="0">
    <w:p w14:paraId="77D117F3" w14:textId="77777777" w:rsidR="0095738D" w:rsidRDefault="0095738D" w:rsidP="00934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2EE0F663"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9F3" w:rsidRDefault="009349F3" w14:paraId="79B93FF3" w14:textId="77777777">
    <w:pPr>
      <w:pStyle w:val="Encabezado"/>
    </w:pPr>
    <w:r>
      <w:ptab w:alignment="center" w:relativeTo="margin" w:leader="none"/>
    </w:r>
    <w:r>
      <w:rPr>
        <w:noProof/>
        <w:lang w:val="es-CR" w:eastAsia="es-CR"/>
      </w:rPr>
      <w:drawing>
        <wp:inline distT="0" distB="0" distL="0" distR="0" wp14:anchorId="547BD38E" wp14:editId="2D6FD670">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r>
      <w:ptab w:alignment="right" w:relativeTo="margin"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4A20F754"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364C4CB4"/>
    <w:multiLevelType w:val="hybridMultilevel"/>
    <w:tmpl w:val="AFA24F3C"/>
    <w:lvl w:ilvl="0" w:tplc="140A0019">
      <w:start w:val="1"/>
      <w:numFmt w:val="lowerLetter"/>
      <w:lvlText w:val="%1."/>
      <w:lvlJc w:val="left"/>
      <w:pPr>
        <w:ind w:left="720" w:hanging="72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3" w15:restartNumberingAfterBreak="0">
    <w:nsid w:val="70F8378E"/>
    <w:multiLevelType w:val="hybridMultilevel"/>
    <w:tmpl w:val="16F660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77361E76"/>
    <w:multiLevelType w:val="hybridMultilevel"/>
    <w:tmpl w:val="BB1CA610"/>
    <w:lvl w:ilvl="0" w:tplc="140A000B">
      <w:start w:val="1"/>
      <w:numFmt w:val="bullet"/>
      <w:lvlText w:val=""/>
      <w:lvlJc w:val="left"/>
      <w:pPr>
        <w:ind w:left="502"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38D"/>
    <w:rsid w:val="00025A68"/>
    <w:rsid w:val="000F20F4"/>
    <w:rsid w:val="00147C4D"/>
    <w:rsid w:val="0016769E"/>
    <w:rsid w:val="001A76AC"/>
    <w:rsid w:val="002036A6"/>
    <w:rsid w:val="00290514"/>
    <w:rsid w:val="003C2F0D"/>
    <w:rsid w:val="00457D79"/>
    <w:rsid w:val="00517D62"/>
    <w:rsid w:val="00590143"/>
    <w:rsid w:val="006972C9"/>
    <w:rsid w:val="006C2CE4"/>
    <w:rsid w:val="006C52C7"/>
    <w:rsid w:val="006E027F"/>
    <w:rsid w:val="0073111B"/>
    <w:rsid w:val="0074159E"/>
    <w:rsid w:val="00786437"/>
    <w:rsid w:val="008200B7"/>
    <w:rsid w:val="00855792"/>
    <w:rsid w:val="00856F59"/>
    <w:rsid w:val="008D27E7"/>
    <w:rsid w:val="00900B79"/>
    <w:rsid w:val="009349F3"/>
    <w:rsid w:val="0095738D"/>
    <w:rsid w:val="009577C0"/>
    <w:rsid w:val="0099047A"/>
    <w:rsid w:val="009B1DAF"/>
    <w:rsid w:val="00A83E03"/>
    <w:rsid w:val="00AB37AA"/>
    <w:rsid w:val="00AE11D1"/>
    <w:rsid w:val="00AF06C5"/>
    <w:rsid w:val="00B51662"/>
    <w:rsid w:val="00B7752A"/>
    <w:rsid w:val="00BD608A"/>
    <w:rsid w:val="00C43630"/>
    <w:rsid w:val="00D1551C"/>
    <w:rsid w:val="00D44AFC"/>
    <w:rsid w:val="00D75522"/>
    <w:rsid w:val="00D94C6C"/>
    <w:rsid w:val="00DE2D06"/>
    <w:rsid w:val="00E6346C"/>
    <w:rsid w:val="00E87F33"/>
    <w:rsid w:val="00EA3AA9"/>
    <w:rsid w:val="00F24E05"/>
    <w:rsid w:val="00F64E7F"/>
    <w:rsid w:val="00F81ED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153BD03"/>
  <w15:chartTrackingRefBased/>
  <w15:docId w15:val="{A1755299-8F9E-4A0F-8432-ABBB1EA1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6972C9"/>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49F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9F3"/>
  </w:style>
  <w:style w:type="paragraph" w:styleId="Piedepgina">
    <w:name w:val="footer"/>
    <w:basedOn w:val="Normal"/>
    <w:link w:val="PiedepginaCar"/>
    <w:uiPriority w:val="99"/>
    <w:unhideWhenUsed/>
    <w:rsid w:val="009349F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9F3"/>
  </w:style>
  <w:style w:type="table" w:styleId="Tablaconcuadrcula">
    <w:name w:val="Table Grid"/>
    <w:basedOn w:val="Tablanormal"/>
    <w:uiPriority w:val="39"/>
    <w:rsid w:val="0093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17D62"/>
    <w:rPr>
      <w:color w:val="0563C1" w:themeColor="hyperlink"/>
      <w:u w:val="single"/>
    </w:rPr>
  </w:style>
  <w:style w:type="paragraph" w:customStyle="1" w:styleId="Texto">
    <w:name w:val="Texto"/>
    <w:basedOn w:val="Normal"/>
    <w:link w:val="TextoChar"/>
    <w:qFormat/>
    <w:rsid w:val="006972C9"/>
    <w:pPr>
      <w:spacing w:before="120" w:after="120" w:line="360" w:lineRule="auto"/>
    </w:pPr>
  </w:style>
  <w:style w:type="paragraph" w:customStyle="1" w:styleId="Negrita">
    <w:name w:val="Negrita"/>
    <w:basedOn w:val="Texto"/>
    <w:link w:val="NegritaChar1"/>
    <w:uiPriority w:val="1"/>
    <w:qFormat/>
    <w:rsid w:val="006972C9"/>
    <w:pPr>
      <w:spacing w:before="0" w:after="0"/>
    </w:pPr>
    <w:rPr>
      <w:b/>
    </w:rPr>
  </w:style>
  <w:style w:type="paragraph" w:customStyle="1" w:styleId="numeracion">
    <w:name w:val="numeracion"/>
    <w:basedOn w:val="Texto"/>
    <w:uiPriority w:val="1"/>
    <w:qFormat/>
    <w:rsid w:val="006972C9"/>
    <w:pPr>
      <w:numPr>
        <w:numId w:val="1"/>
      </w:numPr>
      <w:ind w:left="432" w:firstLine="0"/>
    </w:pPr>
  </w:style>
  <w:style w:type="paragraph" w:customStyle="1" w:styleId="vinetas">
    <w:name w:val="vinetas"/>
    <w:basedOn w:val="numeracion"/>
    <w:uiPriority w:val="1"/>
    <w:qFormat/>
    <w:rsid w:val="006972C9"/>
    <w:pPr>
      <w:numPr>
        <w:numId w:val="2"/>
      </w:numPr>
      <w:ind w:left="792"/>
    </w:pPr>
  </w:style>
  <w:style w:type="paragraph" w:customStyle="1" w:styleId="CC">
    <w:name w:val="CC"/>
    <w:basedOn w:val="Texto"/>
    <w:link w:val="CCChar"/>
    <w:qFormat/>
    <w:rsid w:val="006972C9"/>
    <w:pPr>
      <w:spacing w:before="0" w:after="0"/>
    </w:pPr>
    <w:rPr>
      <w:sz w:val="18"/>
      <w:szCs w:val="18"/>
    </w:rPr>
  </w:style>
  <w:style w:type="character" w:customStyle="1" w:styleId="TextoChar">
    <w:name w:val="Texto Char"/>
    <w:basedOn w:val="Fuentedeprrafopredeter"/>
    <w:link w:val="Texto"/>
    <w:rsid w:val="006972C9"/>
    <w:rPr>
      <w:rFonts w:ascii="Cambria" w:eastAsia="Times New Roman" w:hAnsi="Cambria" w:cs="Times New Roman"/>
      <w:szCs w:val="24"/>
      <w:lang w:val="es-ES"/>
    </w:rPr>
  </w:style>
  <w:style w:type="character" w:customStyle="1" w:styleId="CCChar">
    <w:name w:val="CC Char"/>
    <w:basedOn w:val="TextoChar"/>
    <w:link w:val="CC"/>
    <w:rsid w:val="006972C9"/>
    <w:rPr>
      <w:rFonts w:ascii="Cambria" w:eastAsia="Times New Roman" w:hAnsi="Cambria" w:cs="Times New Roman"/>
      <w:sz w:val="18"/>
      <w:szCs w:val="18"/>
      <w:lang w:val="es-ES"/>
    </w:rPr>
  </w:style>
  <w:style w:type="paragraph" w:customStyle="1" w:styleId="encabezado0">
    <w:name w:val="encabezado"/>
    <w:basedOn w:val="Texto"/>
    <w:uiPriority w:val="1"/>
    <w:qFormat/>
    <w:rsid w:val="006972C9"/>
    <w:pPr>
      <w:spacing w:before="0" w:after="0"/>
    </w:pPr>
  </w:style>
  <w:style w:type="character" w:customStyle="1" w:styleId="NegritaChar1">
    <w:name w:val="Negrita Char1"/>
    <w:basedOn w:val="Fuentedeprrafopredeter"/>
    <w:link w:val="Negrita"/>
    <w:uiPriority w:val="1"/>
    <w:rsid w:val="006972C9"/>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6972C9"/>
    <w:pPr>
      <w:spacing w:before="240" w:after="240"/>
      <w:jc w:val="center"/>
    </w:pPr>
    <w:rPr>
      <w:b/>
    </w:rPr>
  </w:style>
  <w:style w:type="character" w:customStyle="1" w:styleId="CentradoResaltadoChar">
    <w:name w:val="Centrado Resaltado Char"/>
    <w:basedOn w:val="Fuentedeprrafopredeter"/>
    <w:link w:val="CentradoResaltado"/>
    <w:uiPriority w:val="1"/>
    <w:rsid w:val="006972C9"/>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6972C9"/>
    <w:rPr>
      <w:color w:val="808080"/>
    </w:rPr>
  </w:style>
  <w:style w:type="paragraph" w:styleId="Textodeglobo">
    <w:name w:val="Balloon Text"/>
    <w:basedOn w:val="Normal"/>
    <w:link w:val="TextodegloboCar"/>
    <w:uiPriority w:val="99"/>
    <w:semiHidden/>
    <w:unhideWhenUsed/>
    <w:rsid w:val="008D27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27E7"/>
    <w:rPr>
      <w:rFonts w:ascii="Segoe UI" w:eastAsia="Times New Roman" w:hAnsi="Segoe UI" w:cs="Segoe UI"/>
      <w:sz w:val="18"/>
      <w:szCs w:val="18"/>
      <w:lang w:val="es-ES"/>
    </w:rPr>
  </w:style>
  <w:style w:type="paragraph" w:styleId="NormalWeb">
    <w:name w:val="Normal (Web)"/>
    <w:basedOn w:val="Normal"/>
    <w:semiHidden/>
    <w:unhideWhenUsed/>
    <w:rsid w:val="00E87F33"/>
    <w:pPr>
      <w:spacing w:before="100" w:beforeAutospacing="1" w:after="100" w:afterAutospacing="1" w:line="240" w:lineRule="auto"/>
      <w:jc w:val="left"/>
    </w:pPr>
    <w:rPr>
      <w:rFonts w:ascii="Times New Roman" w:hAnsi="Times New Roman"/>
      <w:color w:val="000000"/>
      <w:sz w:val="20"/>
      <w:szCs w:val="20"/>
      <w:lang w:eastAsia="es-ES"/>
    </w:rPr>
  </w:style>
  <w:style w:type="paragraph" w:styleId="Textoindependiente2">
    <w:name w:val="Body Text 2"/>
    <w:basedOn w:val="Normal"/>
    <w:link w:val="Textoindependiente2Car"/>
    <w:rsid w:val="00E87F33"/>
    <w:pPr>
      <w:spacing w:line="240" w:lineRule="auto"/>
    </w:pPr>
    <w:rPr>
      <w:rFonts w:ascii="Times New Roman" w:hAnsi="Times New Roman"/>
      <w:sz w:val="24"/>
      <w:szCs w:val="20"/>
      <w:lang w:val="es-ES_tradnl" w:eastAsia="es-ES"/>
    </w:rPr>
  </w:style>
  <w:style w:type="character" w:customStyle="1" w:styleId="Textoindependiente2Car">
    <w:name w:val="Texto independiente 2 Car"/>
    <w:basedOn w:val="Fuentedeprrafopredeter"/>
    <w:link w:val="Textoindependiente2"/>
    <w:rsid w:val="00E87F33"/>
    <w:rPr>
      <w:rFonts w:ascii="Times New Roman" w:eastAsia="Times New Roman" w:hAnsi="Times New Roman" w:cs="Times New Roman"/>
      <w:sz w:val="24"/>
      <w:szCs w:val="20"/>
      <w:lang w:val="es-ES_tradnl" w:eastAsia="es-ES"/>
    </w:rPr>
  </w:style>
  <w:style w:type="paragraph" w:styleId="Prrafodelista">
    <w:name w:val="List Paragraph"/>
    <w:basedOn w:val="Normal"/>
    <w:uiPriority w:val="34"/>
    <w:qFormat/>
    <w:rsid w:val="00E87F33"/>
    <w:pPr>
      <w:ind w:left="720"/>
      <w:contextualSpacing/>
    </w:pPr>
  </w:style>
  <w:style w:type="paragraph" w:customStyle="1" w:styleId="Default">
    <w:name w:val="Default"/>
    <w:rsid w:val="00E87F3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ugef-correspondencia/sites/servicios_tecnicos/PlantillasCorrespondenciaExternaSUGEF/plantillas-SGF-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AACADA64B1453A98CA742D7A08571D"/>
        <w:category>
          <w:name w:val="General"/>
          <w:gallery w:val="placeholder"/>
        </w:category>
        <w:types>
          <w:type w:val="bbPlcHdr"/>
        </w:types>
        <w:behaviors>
          <w:behavior w:val="content"/>
        </w:behaviors>
        <w:guid w:val="{48C4BC94-C828-416B-8ECB-78DAF0667F3B}"/>
      </w:docPartPr>
      <w:docPartBody>
        <w:p w:rsidR="00065929" w:rsidRDefault="00FD46EB">
          <w:pPr>
            <w:pStyle w:val="56AACADA64B1453A98CA742D7A08571D"/>
          </w:pPr>
          <w:r w:rsidRPr="001E0779">
            <w:rPr>
              <w:rStyle w:val="Textodelmarcadordeposicin"/>
            </w:rPr>
            <w:t>Haga clic aquí para escribir texto.</w:t>
          </w:r>
        </w:p>
      </w:docPartBody>
    </w:docPart>
    <w:docPart>
      <w:docPartPr>
        <w:name w:val="71E35AE9EFF34DA089CB230230934E86"/>
        <w:category>
          <w:name w:val="General"/>
          <w:gallery w:val="placeholder"/>
        </w:category>
        <w:types>
          <w:type w:val="bbPlcHdr"/>
        </w:types>
        <w:behaviors>
          <w:behavior w:val="content"/>
        </w:behaviors>
        <w:guid w:val="{45A72C59-93EF-4F05-9F61-D0D43B9E1569}"/>
      </w:docPartPr>
      <w:docPartBody>
        <w:p w:rsidR="00065929" w:rsidRDefault="00FD46EB">
          <w:pPr>
            <w:pStyle w:val="71E35AE9EFF34DA089CB230230934E86"/>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6EB"/>
    <w:rsid w:val="00065929"/>
    <w:rsid w:val="00FD46E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D46EB"/>
  </w:style>
  <w:style w:type="paragraph" w:customStyle="1" w:styleId="56AACADA64B1453A98CA742D7A08571D">
    <w:name w:val="56AACADA64B1453A98CA742D7A08571D"/>
  </w:style>
  <w:style w:type="paragraph" w:customStyle="1" w:styleId="71E35AE9EFF34DA089CB230230934E86">
    <w:name w:val="71E35AE9EFF34DA089CB230230934E86"/>
  </w:style>
  <w:style w:type="paragraph" w:customStyle="1" w:styleId="9510AB9902D8423EA48366B3C20BC4C9">
    <w:name w:val="9510AB9902D8423EA48366B3C20BC4C9"/>
    <w:rsid w:val="00FD46EB"/>
  </w:style>
  <w:style w:type="paragraph" w:customStyle="1" w:styleId="6AC37ADC262A436682C53010A1FCBD10">
    <w:name w:val="6AC37ADC262A436682C53010A1FCBD10"/>
    <w:rsid w:val="00FD46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uYtVy6wABCRwNTkr6scZjljXLpGd84Scrr2g4zI4cd8=</DigestValue>
    </Reference>
    <Reference Type="http://www.w3.org/2000/09/xmldsig#Object" URI="#idOfficeObject">
      <DigestMethod Algorithm="http://www.w3.org/2001/04/xmlenc#sha256"/>
      <DigestValue>Fbbe3KqaNYDgjRzfwY9Sf4+y+QXBvym9w1XdSgVhwQg=</DigestValue>
    </Reference>
    <Reference Type="http://uri.etsi.org/01903#SignedProperties" URI="#idSignedProperties">
      <Transforms>
        <Transform Algorithm="http://www.w3.org/TR/2001/REC-xml-c14n-20010315"/>
      </Transforms>
      <DigestMethod Algorithm="http://www.w3.org/2001/04/xmlenc#sha256"/>
      <DigestValue>AdtWa4GJa8einjI6FKbDAvJvxeYfbOtd8SOPvqIftQQ=</DigestValue>
    </Reference>
  </SignedInfo>
  <SignatureValue>FN62u11pzzrM31uAd0PrxXTgpfH0VumNLvBmCKAnyw77GS87cXDUcC3rrc4/oT/CzSRm0riIm/df
K2tWV2LH5cprKPcQ+PRkxsQ+MZIjmw1/+ObAqPBtZpn/Wu3dxdWSPfJcta+3lCfOUEcmukIeMi2q
ss/5bmAH634dVHcsEmqfFdWjzss/jdw6vqEgSJt8tuvBb07UItxDLMnxaPy+dGryH2V70UANJa9Y
EHJovCZlmIGB55exaoH1mewSwIwar9mxXPhEru3ocubJW0IhfGH9kFmdFm1SbGlMA9qf4ibmKGgU
l2gl90GDdXecIftmuoMhrwi6whVkST0TklvlpA==</SignatureValue>
  <KeyInfo>
    <X509Data>
      <X509Certificate>MIIFszCCBJugAwIBAgITFAADLNdSToZaQAVXLgAAAAMs1zANBgkqhkiG9w0BAQsFADCBmTEZMBcGA1UEBRMQQ1BKLTQtMDAwLTAwNDAxNzELMAkGA1UEBhMCQ1IxJDAiBgNVBAoTG0JBTkNPIENFTlRSQUwgREUgQ09TVEEgUklDQTEiMCAGA1UECxMZRElWSVNJT04gU0lTVEVNQVMgREUgUEFHTzElMCMGA1UEAxMcQ0EgU0lOUEUgLSBQRVJTT05BIEZJU0lDQSB2MjAeFw0xODAzMTUyMTI1MzVaFw0yMjAzMTQyMTI1MzV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KsMQuOY94vyuY7cwTDDK9Tn7Cb9QcrF0oXAmDaRsamQ5vt07AL1u/B1lK6xKSU6LzQpEeDIWdiLL6Twg/F1mF2l/Fnto1zgWJDGvnE1CBQblXcT6JI8WCz6WVYEWi0scKxonvud8PZ/TvXfysoPhv/HZaTIM8to2MEgzI1CLsDVufLNvjyY1AJAziEasZuzm7Lyb6tI5AOyKHWCzpS0SOWdWIFxBgMiqlp0Famp2YWISXfeLh2FG919fCsCH46azcNCjjkc3waNpXXfIb7HxuvxhUtMDrwSal2G2U07Srw2qZtMnG4PK9kn25/NwcCB1rgxse070vPA6Gji3y7iWf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hru3lq9Zr2BNEex8xPoQPy8XO4VWOVn3uGizGr7vSPE=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WvDpjcsXbHBDJlMRoZ8/v0OD4tIweHDaMHZGcLd9QTU=</DigestValue>
      </Reference>
      <Reference URI="/word/document.xml?ContentType=application/vnd.openxmlformats-officedocument.wordprocessingml.document.main+xml">
        <DigestMethod Algorithm="http://www.w3.org/2001/04/xmlenc#sha256"/>
        <DigestValue>6LculLdmmqU/QRWj0CudGi5XrnMft7DSBuY4/Hzpp+M=</DigestValue>
      </Reference>
      <Reference URI="/word/embeddings/Microsoft_Word_Document.docx?ContentType=application/vnd.openxmlformats-officedocument.wordprocessingml.document">
        <DigestMethod Algorithm="http://www.w3.org/2001/04/xmlenc#sha256"/>
        <DigestValue>TdL7Dboptrcnf9kd+fRLgGCKXZduVnvB4Jsf1rWCLSs=</DigestValue>
      </Reference>
      <Reference URI="/word/embeddings/Microsoft_Word_Document1.docx?ContentType=application/vnd.openxmlformats-officedocument.wordprocessingml.document">
        <DigestMethod Algorithm="http://www.w3.org/2001/04/xmlenc#sha256"/>
        <DigestValue>EujqFs3Nh/qLI0ysEas3l36IzErnBr90tGSZa+COvhU=</DigestValue>
      </Reference>
      <Reference URI="/word/embeddings/Microsoft_Word_Document2.docx?ContentType=application/vnd.openxmlformats-officedocument.wordprocessingml.document">
        <DigestMethod Algorithm="http://www.w3.org/2001/04/xmlenc#sha256"/>
        <DigestValue>Vt9gJNOk0u9P8mMZ860XHkUOtBt6nqa3/0/25vxpoIY=</DigestValue>
      </Reference>
      <Reference URI="/word/embeddings/oleObject1.bin?ContentType=application/vnd.openxmlformats-officedocument.oleObject">
        <DigestMethod Algorithm="http://www.w3.org/2001/04/xmlenc#sha256"/>
        <DigestValue>AOSBLaiGZEmqx2gP8H0kgRZfDro5glabIAQYrOXHEW8=</DigestValue>
      </Reference>
      <Reference URI="/word/endnotes.xml?ContentType=application/vnd.openxmlformats-officedocument.wordprocessingml.endnotes+xml">
        <DigestMethod Algorithm="http://www.w3.org/2001/04/xmlenc#sha256"/>
        <DigestValue>oIrKKOQqfTKbkL54U+So4dLlEgI9iRMjhnr1iaETcco=</DigestValue>
      </Reference>
      <Reference URI="/word/fontTable.xml?ContentType=application/vnd.openxmlformats-officedocument.wordprocessingml.fontTable+xml">
        <DigestMethod Algorithm="http://www.w3.org/2001/04/xmlenc#sha256"/>
        <DigestValue>qoKVXIjKoYq45NZnH0ghd2z6WOUzZgZVk/gZmkrCMOE=</DigestValue>
      </Reference>
      <Reference URI="/word/footer1.xml?ContentType=application/vnd.openxmlformats-officedocument.wordprocessingml.footer+xml">
        <DigestMethod Algorithm="http://www.w3.org/2001/04/xmlenc#sha256"/>
        <DigestValue>bXFqwrjMinYpkcF/dZQWC95EJdwroU1U9/631Qba+kE=</DigestValue>
      </Reference>
      <Reference URI="/word/footer2.xml?ContentType=application/vnd.openxmlformats-officedocument.wordprocessingml.footer+xml">
        <DigestMethod Algorithm="http://www.w3.org/2001/04/xmlenc#sha256"/>
        <DigestValue>GPNJXCY2MzzYGElC1LfaV5ZJZCIFhIqs2jZLAIRKde8=</DigestValue>
      </Reference>
      <Reference URI="/word/footer3.xml?ContentType=application/vnd.openxmlformats-officedocument.wordprocessingml.footer+xml">
        <DigestMethod Algorithm="http://www.w3.org/2001/04/xmlenc#sha256"/>
        <DigestValue>1I6cp5KuX7ALTZXIS6oonGUeR6Bt+IK3o2v87GLfhbo=</DigestValue>
      </Reference>
      <Reference URI="/word/footnotes.xml?ContentType=application/vnd.openxmlformats-officedocument.wordprocessingml.footnotes+xml">
        <DigestMethod Algorithm="http://www.w3.org/2001/04/xmlenc#sha256"/>
        <DigestValue>nDbkIgCXxooEMmDQYLfhYDilYrnA95jW+T4TnSBh/4U=</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L0mXOVm+CeRpFYhZf/gaIzYOaBbeSqoNHA4K0+hz+V0=</DigestValue>
      </Reference>
      <Reference URI="/word/glossary/fontTable.xml?ContentType=application/vnd.openxmlformats-officedocument.wordprocessingml.fontTable+xml">
        <DigestMethod Algorithm="http://www.w3.org/2001/04/xmlenc#sha256"/>
        <DigestValue>qoKVXIjKoYq45NZnH0ghd2z6WOUzZgZVk/gZmkrCMOE=</DigestValue>
      </Reference>
      <Reference URI="/word/glossary/settings.xml?ContentType=application/vnd.openxmlformats-officedocument.wordprocessingml.settings+xml">
        <DigestMethod Algorithm="http://www.w3.org/2001/04/xmlenc#sha256"/>
        <DigestValue>jajoSKRFYbUlJZUqydtmATkjIIJ+tEHKOCxwFauiFTk=</DigestValue>
      </Reference>
      <Reference URI="/word/glossary/styles.xml?ContentType=application/vnd.openxmlformats-officedocument.wordprocessingml.styles+xml">
        <DigestMethod Algorithm="http://www.w3.org/2001/04/xmlenc#sha256"/>
        <DigestValue>j0CeyrT10b1pV4D4gjUFuYU1fXi6BFIIA70UYSmDAUc=</DigestValue>
      </Reference>
      <Reference URI="/word/glossary/webSettings.xml?ContentType=application/vnd.openxmlformats-officedocument.wordprocessingml.webSettings+xml">
        <DigestMethod Algorithm="http://www.w3.org/2001/04/xmlenc#sha256"/>
        <DigestValue>Xg3hEfvJ+Z2rkGfrnNiD+pFqrxlY1D1O8Hz9BaIymlQ=</DigestValue>
      </Reference>
      <Reference URI="/word/header1.xml?ContentType=application/vnd.openxmlformats-officedocument.wordprocessingml.header+xml">
        <DigestMethod Algorithm="http://www.w3.org/2001/04/xmlenc#sha256"/>
        <DigestValue>LFLj/AA6AP/9SK2XbLJdYlyKFnbHiBoSvxg8pxn+lLU=</DigestValue>
      </Reference>
      <Reference URI="/word/header2.xml?ContentType=application/vnd.openxmlformats-officedocument.wordprocessingml.header+xml">
        <DigestMethod Algorithm="http://www.w3.org/2001/04/xmlenc#sha256"/>
        <DigestValue>HH7jsBmjWrj/jy3GCNCDkwFa11IF1FQ8r39/o/iomFU=</DigestValue>
      </Reference>
      <Reference URI="/word/header3.xml?ContentType=application/vnd.openxmlformats-officedocument.wordprocessingml.header+xml">
        <DigestMethod Algorithm="http://www.w3.org/2001/04/xmlenc#sha256"/>
        <DigestValue>2xUYZs9oTIICoU+C0jmUNchYD+lfAdTDJ6dxRaBAW3w=</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CH7+JSqLE+rhIR/Jxf8QqtHPA5maO31ohETP9uOUJcA=</DigestValue>
      </Reference>
      <Reference URI="/word/media/image3.emf?ContentType=image/x-emf">
        <DigestMethod Algorithm="http://www.w3.org/2001/04/xmlenc#sha256"/>
        <DigestValue>arN/XW03MgiZLLWoPkEBVAQMlG4KXyGoAHwjrdgY8ss=</DigestValue>
      </Reference>
      <Reference URI="/word/media/image4.emf?ContentType=image/x-emf">
        <DigestMethod Algorithm="http://www.w3.org/2001/04/xmlenc#sha256"/>
        <DigestValue>uHw41dzcocXgfx7Txv2/j1A7LdAbT0RsjR84ukn0Nf0=</DigestValue>
      </Reference>
      <Reference URI="/word/media/image5.emf?ContentType=image/x-emf">
        <DigestMethod Algorithm="http://www.w3.org/2001/04/xmlenc#sha256"/>
        <DigestValue>ASo2zZOvubLI6U7Glkrs5SOEJFfrVG5KangmL7hh2Qg=</DigestValue>
      </Reference>
      <Reference URI="/word/media/image6.png?ContentType=image/png">
        <DigestMethod Algorithm="http://www.w3.org/2001/04/xmlenc#sha256"/>
        <DigestValue>qpOpLv7+AIBBXGXobYzZUmN/7IR83yO/J/JVrvtB94I=</DigestValue>
      </Reference>
      <Reference URI="/word/numbering.xml?ContentType=application/vnd.openxmlformats-officedocument.wordprocessingml.numbering+xml">
        <DigestMethod Algorithm="http://www.w3.org/2001/04/xmlenc#sha256"/>
        <DigestValue>56iy+dTQChTfAPXk3kUEz0gEg0izp+7Mc26mpNn55/8=</DigestValue>
      </Reference>
      <Reference URI="/word/settings.xml?ContentType=application/vnd.openxmlformats-officedocument.wordprocessingml.settings+xml">
        <DigestMethod Algorithm="http://www.w3.org/2001/04/xmlenc#sha256"/>
        <DigestValue>Bh/KOJ1xNPYNdoLpXA/I+g48VMp876s2+HVOrmUFPxQ=</DigestValue>
      </Reference>
      <Reference URI="/word/styles.xml?ContentType=application/vnd.openxmlformats-officedocument.wordprocessingml.styles+xml">
        <DigestMethod Algorithm="http://www.w3.org/2001/04/xmlenc#sha256"/>
        <DigestValue>d21PHj0xRpL2jUQlis/kUfmJ20Cx6sre02HSJtv6AoY=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5OguAE3Tch5FNI8P+YzMeDHzpdUvph2nyRd11Eir3Wg=</DigestValue>
      </Reference>
    </Manifest>
    <SignatureProperties>
      <SignatureProperty Id="idSignatureTime" Target="#idPackageSignature">
        <mdssi:SignatureTime xmlns:mdssi="http://schemas.openxmlformats.org/package/2006/digital-signature">
          <mdssi:Format>YYYY-MM-DDThh:mm:ssTZD</mdssi:Format>
          <mdssi:Value>2021-06-23T16:38:18Z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2021-06-23T16:38:18Z</xd:SigningTime>
          <xd:SigningCertificate>
            <xd:Cert>
              <xd:CertDigest>
                <DigestMethod Algorithm="http://www.w3.org/2001/04/xmlenc#sha256"/>
                <DigestValue>hcX6Ui1AJewr447NRqRLARWN8amrLGOMXjQwt13F7ag=</DigestValue>
              </xd:CertDigest>
              <xd:IssuerSerial>
                <X509IssuerName>CN=CA SINPE - PERSONA FISICA v2, OU=DIVISION SISTEMAS DE PAGO, O=BANCO CENTRAL DE COSTA RICA, C=CR, SERIALNUMBER=CPJ-4-000-004017</X509IssuerName>
                <X509SerialNumber>446015984421758243731663622867591250489584855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LxWRyPnpxsq1UMnUH/HoO3kC/ZdHC8vjWi+2Uq6LcucCBAwWkSQYDzIwMjEwNjIzMTYzODI0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</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</xd:EncapsulatedCRLValue>
                <xd:EncapsulatedCRLValue>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</xd:EncapsulatedCRLValue>
              </xd:CRLValues>
            </xd:RevocationValues>
          </TimeStampValidationData>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8D2fS9EQlWeewRnWSH1UoMQ+QXU=</xd:ByKey>
                  </xd:ResponderID>
                  <xd:ProducedAt>2021-06-23T16:38:16Z</xd:ProducedAt>
                </xd:OCSPIdentifier>
                <xd:DigestAlgAndValue>
                  <DigestMethod Algorithm="http://www.w3.org/2001/04/xmlenc#sha256"/>
                  <DigestValue>T2uy+b0Uslu4N+FOGRq90JcLiCSE2awpEJpRupyeBiU=</DigestValue>
                </xd:DigestAlgAndValue>
              </xd:OCSPRef>
            </xd:OCSPRefs>
            <xd:CRLRefs>
              <xd:CRLRef>
                <xd:DigestAlgAndValue>
                  <DigestMethod Algorithm="http://www.w3.org/2001/04/xmlenc#sha256"/>
                  <DigestValue>T185pySYQwduCtKQw7FOySCoA39tgiVCR2aMkDgwzQw=</DigestValue>
                </xd:DigestAlgAndValue>
                <xd:CRLIdentifier>
                  <xd:Issuer>CN=CA POLITICA PERSONA FISICA - COSTA RICA v2, OU=DCFD, O=MICITT, C=CR, SERIALNUMBER=CPJ-2-100-098311</xd:Issuer>
                  <xd:IssueTime>2021-05-13T16:03:04Z</xd:IssueTime>
                </xd:CRLIdentifier>
              </xd:CRLRef>
              <xd:CRLRef>
                <xd:DigestAlgAndValue>
                  <DigestMethod Algorithm="http://www.w3.org/2001/04/xmlenc#sha256"/>
                  <DigestValue>Gb676LKVfJEt/Bk1qkeQXC8PoCVWlEQOwaQ+JcE9XKw=</DigestValue>
                </xd:DigestAlgAndValue>
                <xd:CRLIdentifier>
                  <xd:Issuer>CN=CA RAIZ NACIONAL - COSTA RICA v2, C=CR, O=MICITT, OU=DCFD, SERIALNUMBER=CPJ-2-100-098311</xd:Issuer>
                  <xd:IssueTime>2021-03-19T14:50:28Z</xd:IssueTime>
                </xd:CRLIdentifier>
              </xd:CRLRef>
            </xd:CRLRefs>
          </xd:CompleteRevocationRefs>
          <xd:RevocationValues>
            <xd:OCSPValues>
              <xd:EncapsulatedOCSPValue>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</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</xd:EncapsulatedCRLValue>
              <xd:EncapsulatedCRLValue>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</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MQ2UJ2ueRmJWhQoi2OcpszHnMRHU+fcuxQ+nBUwLHg8CBAwWkSUYDzIwMjEwNjIzMTYzODI0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</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137" ma:contentTypeDescription="Crear nuevo documento." ma:contentTypeScope="" ma:versionID="9ccb4f9f214a65a0ef2a6c8194b19779">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1ea88ff027fe330deda2bb90334851d4"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161</Value>
      <Value>130</Value>
      <Value>128</Value>
      <Value>63</Value>
    </TaxCatchAll>
    <OtraEntidadExterna xmlns="b875e23b-67d9-4b2e-bdec-edacbf90b326">A las entidades indicadas en la Circular</OtraEntidadExterna>
    <Firmado xmlns="b875e23b-67d9-4b2e-bdec-edacbf90b326">true</Firmado>
    <Responsable xmlns="b875e23b-67d9-4b2e-bdec-edacbf90b326">
      <UserInfo>
        <DisplayName>MONTOYA SOLANO EDUARDO ANTONIO</DisplayName>
        <AccountId>310</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INFORMACION CREDITICIA</DisplayName>
        <AccountId>692</AccountId>
        <AccountType/>
      </UserInfo>
    </InformarA>
    <EstadoCorrespondencia xmlns="b875e23b-67d9-4b2e-bdec-edacbf90b326">Aprobado para envío</EstadoCorrespondencia>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Circular Externa  para todas las entidades supervisadas y no supervisadas que utilizan el CIC y el CICOC,   
cc: SALIENTE INFORMACION CREDITICIA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 xsi:nil="true"/>
    <RemitenteOriginal xmlns="b875e23b-67d9-4b2e-bdec-edacbf90b326">División Servicios Técnicos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2021</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Circular Externa Autorizaciones tramitadas en CIC y CICOC</Subject1>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Confidencial</TermName>
          <TermId xmlns="http://schemas.microsoft.com/office/infopath/2007/PartnerControls">d19c5cf3-f0e9-4d18-86d2-7bee4000e1ea</TermId>
        </TermInfo>
      </Terms>
    </n32f5b5d94d147d6ae4b36230db37881>
  </documentManagement>
</p:properties>
</file>

<file path=customXml/item4.xml><?xml version="1.0" encoding="utf-8"?>
<?mso-contentType ?>
<SharedContentType xmlns="Microsoft.SharePoint.Taxonomy.ContentTypeSync" SourceId="031b4bb2-0db7-40b3-a341-fc1511e9642d" ContentTypeId="0x010100E97154E09FCE6A4E8EAEBD5C54DD1AE40202" PreviousValue="false"/>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4AAFCCCB-9E12-4D59-8870-9FAC389D89D2}"/>
</file>

<file path=customXml/itemProps2.xml><?xml version="1.0" encoding="utf-8"?>
<ds:datastoreItem xmlns:ds="http://schemas.openxmlformats.org/officeDocument/2006/customXml" ds:itemID="{07BC0867-A410-4C22-9CA7-738BBA2D818F}"/>
</file>

<file path=customXml/itemProps3.xml><?xml version="1.0" encoding="utf-8"?>
<ds:datastoreItem xmlns:ds="http://schemas.openxmlformats.org/officeDocument/2006/customXml" ds:itemID="{7E1A6AFB-C237-493F-B35B-A9C91BC6FE18}">
  <ds:schemaRefs>
    <ds:schemaRef ds:uri="http://schemas.openxmlformats.org/package/2006/metadata/core-properties"/>
    <ds:schemaRef ds:uri="http://purl.org/dc/elements/1.1/"/>
    <ds:schemaRef ds:uri="http://purl.org/dc/dcmitype/"/>
    <ds:schemaRef ds:uri="http://www.w3.org/XML/1998/namespace"/>
    <ds:schemaRef ds:uri="http://schemas.microsoft.com/office/infopath/2007/PartnerControls"/>
    <ds:schemaRef ds:uri="http://schemas.microsoft.com/office/2006/documentManagement/types"/>
    <ds:schemaRef ds:uri="b875e23b-67d9-4b2e-bdec-edacbf90b326"/>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39B8385D-7BC7-46A0-B7FE-D488815D88BC}">
  <ds:schemaRefs>
    <ds:schemaRef ds:uri="Microsoft.SharePoint.Taxonomy.ContentTypeSync"/>
  </ds:schemaRefs>
</ds:datastoreItem>
</file>

<file path=customXml/itemProps5.xml><?xml version="1.0" encoding="utf-8"?>
<ds:datastoreItem xmlns:ds="http://schemas.openxmlformats.org/officeDocument/2006/customXml" ds:itemID="{4ED01199-E0DC-4725-B4C0-342CADDFE205}"/>
</file>

<file path=customXml/itemProps6.xml><?xml version="1.0" encoding="utf-8"?>
<ds:datastoreItem xmlns:ds="http://schemas.openxmlformats.org/officeDocument/2006/customXml" ds:itemID="{6B8F879E-69D6-4FA4-87F8-7B1FE0BDBD1F}"/>
</file>

<file path=docProps/app.xml><?xml version="1.0" encoding="utf-8"?>
<Properties xmlns="http://schemas.openxmlformats.org/officeDocument/2006/extended-properties" xmlns:vt="http://schemas.openxmlformats.org/officeDocument/2006/docPropsVTypes">
  <Template>plantillas-SGF-13.dotm</Template>
  <TotalTime>267</TotalTime>
  <Pages>5</Pages>
  <Words>1379</Words>
  <Characters>7585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GUTIERREZ ELVIS EDUARDO</dc:creator>
  <cp:keywords/>
  <dc:description/>
  <cp:lastModifiedBy>VARGAS LEAL GABRIELA</cp:lastModifiedBy>
  <cp:revision>30</cp:revision>
  <dcterms:created xsi:type="dcterms:W3CDTF">2021-06-09T14:51:00Z</dcterms:created>
  <dcterms:modified xsi:type="dcterms:W3CDTF">2021-06-22T22:14:00Z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Integridad">
    <vt:lpwstr>128;#Alta|0fd17ec2-e5d0-4d9f-8e18-466324d0fdd4</vt:lpwstr>
  </property>
  <property fmtid="{D5CDD505-2E9C-101B-9397-08002B2CF9AE}" pid="4" name="Tipo Documental">
    <vt:lpwstr>426;#Circular|a95dd0af-ef18-4305-9c8d-aa79141c6059</vt:lpwstr>
  </property>
  <property fmtid="{D5CDD505-2E9C-101B-9397-08002B2CF9AE}" pid="5" name="Unidad de Destino">
    <vt:lpwstr/>
  </property>
  <property fmtid="{D5CDD505-2E9C-101B-9397-08002B2CF9AE}" pid="6" name="Disponibilidad">
    <vt:lpwstr>161;#Alta|7fca731c-4c62-4f1c-9061-e9f164c964b2</vt:lpwstr>
  </property>
  <property fmtid="{D5CDD505-2E9C-101B-9397-08002B2CF9AE}" pid="7" name="Confidencialidad1">
    <vt:lpwstr/>
  </property>
  <property fmtid="{D5CDD505-2E9C-101B-9397-08002B2CF9AE}" pid="8" name="Unidad Remitente">
    <vt:lpwstr>63;#SUGEF - Despacho|2d490573-c91c-4a7c-9f31-5076771b6476</vt:lpwstr>
  </property>
  <property fmtid="{D5CDD505-2E9C-101B-9397-08002B2CF9AE}" pid="9" name="Dirigido a (entidad externa)">
    <vt:lpwstr/>
  </property>
  <property fmtid="{D5CDD505-2E9C-101B-9397-08002B2CF9AE}" pid="10" name="ConfidencialidadNueva">
    <vt:lpwstr>130;#Confidencial|d19c5cf3-f0e9-4d18-86d2-7bee4000e1ea</vt:lpwstr>
  </property>
  <property fmtid="{D5CDD505-2E9C-101B-9397-08002B2CF9AE}" pid="11" name="Order">
    <vt:r8>534000</vt:r8>
  </property>
  <property fmtid="{D5CDD505-2E9C-101B-9397-08002B2CF9AE}" pid="13" name="lb0b7da792b243d9bfa96ad7487ad734">
    <vt:lpwstr/>
  </property>
  <property fmtid="{D5CDD505-2E9C-101B-9397-08002B2CF9AE}" pid="14" name="_dlc_policyId">
    <vt:lpwstr>0x010100E97154E09FCE6A4E8EAEBD5C54DD1AE4|-1695030217</vt:lpwstr>
  </property>
  <property fmtid="{D5CDD505-2E9C-101B-9397-08002B2CF9AE}" pid="15"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6" name="WorkflowChangePath">
    <vt:lpwstr>dc9be4ca-c6c9-41a3-8f1b-604965ed1693,6;7dedacbb-5c77-4a35-8847-40abd1245d4d,9;</vt:lpwstr>
  </property>
</Properties>
</file>